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Fonts w:ascii="Arial" w:cs="Arial" w:eastAsia="Arial" w:hAnsi="Arial"/>
          <w:rtl w:val="0"/>
        </w:rPr>
        <w:t xml:space="preserve">The NomCom is seeking people of integrity with the expertise, knowledge, and experience to make a meaningful contribution to the NomCom’s work as it acts in the best interests of the global Internet community.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Fonts w:ascii="Arial" w:cs="Arial" w:eastAsia="Arial" w:hAnsi="Arial"/>
          <w:color w:val="333333"/>
          <w:highlight w:val="white"/>
          <w:rtl w:val="0"/>
        </w:rPr>
        <w:t xml:space="preserve">Delegates of the Nominating Committee have an obligation to act independently and in the larger public interest and not act as representatives of, nor lobby or advance the interest of any particular appointing body, organization, group, or committee, in particular with respect to the assessment and selection of candidates.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Arial" w:cs="Arial" w:eastAsia="Arial" w:hAnsi="Arial"/>
          <w:b w:val="1"/>
        </w:rPr>
      </w:pPr>
      <w:r w:rsidDel="00000000" w:rsidR="00000000" w:rsidRPr="00000000">
        <w:rPr>
          <w:rFonts w:ascii="Arial" w:cs="Arial" w:eastAsia="Arial" w:hAnsi="Arial"/>
          <w:b w:val="1"/>
          <w:rtl w:val="0"/>
        </w:rPr>
        <w:t xml:space="preserve">Key Responsibilities and Duties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09">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Actively participate in outreach activities to attract and increase interest to apply for open leadership positions, especially those which underrepresented positions and/or regions;</w:t>
      </w:r>
    </w:p>
    <w:p w:rsidR="00000000" w:rsidDel="00000000" w:rsidP="00000000" w:rsidRDefault="00000000" w:rsidRPr="00000000" w14:paraId="0000000A">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Participation in at least two of NomCom subcommittees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addition to</w:t>
      </w:r>
      <w:r w:rsidDel="00000000" w:rsidR="00000000" w:rsidRPr="00000000">
        <w:rPr>
          <w:rFonts w:ascii="Arial" w:cs="Arial" w:eastAsia="Arial" w:hAnsi="Arial"/>
          <w:rtl w:val="0"/>
        </w:rPr>
        <w:t xml:space="preserve"> Outreach </w:t>
      </w:r>
      <w:r w:rsidDel="00000000" w:rsidR="00000000" w:rsidRPr="00000000">
        <w:rPr>
          <w:rFonts w:ascii="Arial" w:cs="Arial" w:eastAsia="Arial" w:hAnsi="Arial"/>
          <w:rtl w:val="0"/>
        </w:rPr>
        <w:t xml:space="preserve">which all delegates are expected to contribute</w:t>
      </w:r>
      <w:r w:rsidDel="00000000" w:rsidR="00000000" w:rsidRPr="00000000">
        <w:rPr>
          <w:rFonts w:ascii="Arial" w:cs="Arial" w:eastAsia="Arial" w:hAnsi="Arial"/>
          <w:rtl w:val="0"/>
        </w:rPr>
        <w:t xml:space="preserve">) and which contribute to the completion work of each of the critical phases of the NomCom selection process;</w:t>
      </w:r>
    </w:p>
    <w:p w:rsidR="00000000" w:rsidDel="00000000" w:rsidP="00000000" w:rsidRDefault="00000000" w:rsidRPr="00000000" w14:paraId="0000000B">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Ability to review, assess and score applicants using the provided tools and forms, during the different winnowing phases of the selection cycle meeting the required deadlines;</w:t>
      </w:r>
    </w:p>
    <w:p w:rsidR="00000000" w:rsidDel="00000000" w:rsidP="00000000" w:rsidRDefault="00000000" w:rsidRPr="00000000" w14:paraId="0000000C">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Ability to prepare concise, accurate and unbiased applicant assessment reports which will be used as part of assessment and scoring of applicants during the selection cycle;</w:t>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Participate in all NomCom, subcommittee, other mandatory, in-person, and virtual meetings which are scheduled throughout the 9 month NomCom selection cycle;</w:t>
      </w:r>
    </w:p>
    <w:p w:rsidR="00000000" w:rsidDel="00000000" w:rsidP="00000000" w:rsidRDefault="00000000" w:rsidRPr="00000000" w14:paraId="0000000E">
      <w:pPr>
        <w:widowControl w:val="0"/>
        <w:numPr>
          <w:ilvl w:val="0"/>
          <w:numId w:val="3"/>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Ability to effectively contribute to the process of the NomCom to reach consensus in the selection of the most qualified candidates that fulfill the skills and requirements of the open leadership positions and in the best interest of the ICANN Community.</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 w:line="256" w:lineRule="auto"/>
        <w:ind w:left="20" w:firstLine="0"/>
        <w:rPr>
          <w:rFonts w:ascii="Arial" w:cs="Arial" w:eastAsia="Arial" w:hAnsi="Arial"/>
          <w:b w:val="1"/>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7" w:line="256" w:lineRule="auto"/>
        <w:ind w:left="20" w:firstLine="0"/>
        <w:rPr>
          <w:rFonts w:ascii="Arial" w:cs="Arial" w:eastAsia="Arial" w:hAnsi="Arial"/>
          <w:b w:val="1"/>
        </w:rPr>
      </w:pPr>
      <w:r w:rsidDel="00000000" w:rsidR="00000000" w:rsidRPr="00000000">
        <w:rPr>
          <w:rFonts w:ascii="Arial" w:cs="Arial" w:eastAsia="Arial" w:hAnsi="Arial"/>
          <w:b w:val="1"/>
          <w:rtl w:val="0"/>
        </w:rPr>
        <w:t xml:space="preserve">Time Commitment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7" w:line="256" w:lineRule="auto"/>
        <w:ind w:left="20" w:firstLine="0"/>
        <w:rPr>
          <w:rFonts w:ascii="Arial" w:cs="Arial" w:eastAsia="Arial" w:hAnsi="Arial"/>
          <w:b w:val="1"/>
        </w:rPr>
      </w:pPr>
      <w:r w:rsidDel="00000000" w:rsidR="00000000" w:rsidRPr="00000000">
        <w:rPr>
          <w:rtl w:val="0"/>
        </w:rPr>
      </w:r>
    </w:p>
    <w:p w:rsidR="00000000" w:rsidDel="00000000" w:rsidP="00000000" w:rsidRDefault="00000000" w:rsidRPr="00000000" w14:paraId="00000012">
      <w:pPr>
        <w:widowControl w:val="0"/>
        <w:numPr>
          <w:ilvl w:val="0"/>
          <w:numId w:val="4"/>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u w:val="single"/>
          <w:rtl w:val="0"/>
        </w:rPr>
        <w:t xml:space="preserve">Mandatory attendance is required for the following meetings</w:t>
      </w:r>
      <w:r w:rsidDel="00000000" w:rsidR="00000000" w:rsidRPr="00000000">
        <w:rPr>
          <w:rFonts w:ascii="Arial" w:cs="Arial" w:eastAsia="Arial" w:hAnsi="Arial"/>
          <w:rtl w:val="0"/>
        </w:rPr>
        <w:t xml:space="preserve">: NomCom Delegate Onboarding Workshop which takes place at the ICANN Annual General meeting; one NomCom Workshop, which typically take place during the ICANN Community Forum; </w:t>
      </w:r>
      <w:r w:rsidDel="00000000" w:rsidR="00000000" w:rsidRPr="00000000">
        <w:rPr>
          <w:rFonts w:ascii="Arial" w:cs="Arial" w:eastAsia="Arial" w:hAnsi="Arial"/>
          <w:rtl w:val="0"/>
        </w:rPr>
        <w:t xml:space="preserve">one in-person NomCom Intersessional, which typically takes place in the </w:t>
      </w:r>
      <w:r w:rsidDel="00000000" w:rsidR="00000000" w:rsidRPr="00000000">
        <w:rPr>
          <w:rFonts w:ascii="Arial" w:cs="Arial" w:eastAsia="Arial" w:hAnsi="Arial"/>
          <w:rtl w:val="0"/>
        </w:rPr>
        <w:t xml:space="preserve">month </w:t>
      </w:r>
      <w:r w:rsidDel="00000000" w:rsidR="00000000" w:rsidRPr="00000000">
        <w:rPr>
          <w:rFonts w:ascii="Arial" w:cs="Arial" w:eastAsia="Arial" w:hAnsi="Arial"/>
          <w:rtl w:val="0"/>
        </w:rPr>
        <w:t xml:space="preserve">of  April; </w:t>
      </w:r>
      <w:r w:rsidDel="00000000" w:rsidR="00000000" w:rsidRPr="00000000">
        <w:rPr>
          <w:rFonts w:ascii="Arial" w:cs="Arial" w:eastAsia="Arial" w:hAnsi="Arial"/>
          <w:rtl w:val="0"/>
        </w:rPr>
        <w:t xml:space="preserve">another virtual intersessional which typically takes place online in the month of May;</w:t>
      </w:r>
      <w:r w:rsidDel="00000000" w:rsidR="00000000" w:rsidRPr="00000000">
        <w:rPr>
          <w:rFonts w:ascii="Arial" w:cs="Arial" w:eastAsia="Arial" w:hAnsi="Arial"/>
          <w:rtl w:val="0"/>
        </w:rPr>
        <w:t xml:space="preserve"> and the final NomCom Selection Workshop, which takes place at the ICANN Policy Forum; the NomCom delegates are also required to attend and complete 3-6 mandatory NomCom Delegate training sessions which will be scheduled throughout the 9 month selection cycle (approximately 2-3 hours per session).</w:t>
      </w:r>
    </w:p>
    <w:p w:rsidR="00000000" w:rsidDel="00000000" w:rsidP="00000000" w:rsidRDefault="00000000" w:rsidRPr="00000000" w14:paraId="00000013">
      <w:pPr>
        <w:widowControl w:val="0"/>
        <w:numPr>
          <w:ilvl w:val="0"/>
          <w:numId w:val="4"/>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To fulfill the mandatory participation requirement at NomCom workshops, NomCom delegates must possess the capacity to travel internationally and secure necessary visa documents with assistance from ICANN travel support. In cases where a NomCom delegate requires remote participation, it is essential they have access to the required tools and applications, along with a stable internet connection, enabling them to engage fully in the workshops.</w:t>
      </w:r>
    </w:p>
    <w:p w:rsidR="00000000" w:rsidDel="00000000" w:rsidP="00000000" w:rsidRDefault="00000000" w:rsidRPr="00000000" w14:paraId="00000014">
      <w:pPr>
        <w:widowControl w:val="0"/>
        <w:numPr>
          <w:ilvl w:val="0"/>
          <w:numId w:val="4"/>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In addition to the mandatory NomCom workshops, the NomCom subcommittees meet at least 3-6 times during different phases of the selection cycle and full attendance by subcommittee members is required. These meetings are traditionally video conference meetings. Duration of these calls can be 60 minutes to 120 minutes per meeting.</w:t>
      </w:r>
    </w:p>
    <w:p w:rsidR="00000000" w:rsidDel="00000000" w:rsidP="00000000" w:rsidRDefault="00000000" w:rsidRPr="00000000" w14:paraId="00000015">
      <w:pPr>
        <w:widowControl w:val="0"/>
        <w:numPr>
          <w:ilvl w:val="0"/>
          <w:numId w:val="4"/>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rPr>
      </w:pPr>
      <w:r w:rsidDel="00000000" w:rsidR="00000000" w:rsidRPr="00000000">
        <w:rPr>
          <w:rFonts w:ascii="Arial" w:cs="Arial" w:eastAsia="Arial" w:hAnsi="Arial"/>
          <w:rtl w:val="0"/>
        </w:rPr>
        <w:t xml:space="preserve">Work required by each delegate to complete leading up to the final selection meeting can begin immediately after the Onboarding Workshop and continues throughout the selection cycle. The time commitment for the delegates to complete the required obligations </w:t>
      </w:r>
      <w:r w:rsidDel="00000000" w:rsidR="00000000" w:rsidRPr="00000000">
        <w:rPr>
          <w:rFonts w:ascii="Arial" w:cs="Arial" w:eastAsia="Arial" w:hAnsi="Arial"/>
          <w:rtl w:val="0"/>
        </w:rPr>
        <w:t xml:space="preserve">is typically</w:t>
      </w:r>
      <w:r w:rsidDel="00000000" w:rsidR="00000000" w:rsidRPr="00000000">
        <w:rPr>
          <w:rFonts w:ascii="Arial" w:cs="Arial" w:eastAsia="Arial" w:hAnsi="Arial"/>
          <w:rtl w:val="0"/>
        </w:rPr>
        <w:t xml:space="preserve"> 5-10 hours per week depending upon the phase of the selection cycle the NomCom is in. Additionally, t</w:t>
      </w:r>
      <w:r w:rsidDel="00000000" w:rsidR="00000000" w:rsidRPr="00000000">
        <w:rPr>
          <w:rFonts w:ascii="Arial" w:cs="Arial" w:eastAsia="Arial" w:hAnsi="Arial"/>
          <w:b w:val="1"/>
          <w:rtl w:val="0"/>
        </w:rPr>
        <w:t xml:space="preserve">he workload of the NomCom significantly increases from March through June.</w:t>
      </w:r>
      <w:r w:rsidDel="00000000" w:rsidR="00000000" w:rsidRPr="00000000">
        <w:rPr>
          <w:rtl w:val="0"/>
        </w:rPr>
      </w:r>
    </w:p>
    <w:p w:rsidR="00000000" w:rsidDel="00000000" w:rsidP="00000000" w:rsidRDefault="00000000" w:rsidRPr="00000000" w14:paraId="00000016">
      <w:pPr>
        <w:widowControl w:val="0"/>
        <w:numPr>
          <w:ilvl w:val="0"/>
          <w:numId w:val="4"/>
        </w:numPr>
        <w:pBdr>
          <w:top w:space="0" w:sz="0" w:val="nil"/>
          <w:left w:space="0" w:sz="0" w:val="nil"/>
          <w:bottom w:space="0" w:sz="0" w:val="nil"/>
          <w:right w:space="0" w:sz="0" w:val="nil"/>
          <w:between w:space="0" w:sz="0" w:val="nil"/>
        </w:pBdr>
        <w:spacing w:before="17" w:line="256" w:lineRule="auto"/>
        <w:ind w:left="740" w:hanging="360"/>
        <w:rPr>
          <w:rFonts w:ascii="Arial" w:cs="Arial" w:eastAsia="Arial" w:hAnsi="Arial"/>
          <w:u w:val="none"/>
        </w:rPr>
      </w:pPr>
      <w:r w:rsidDel="00000000" w:rsidR="00000000" w:rsidRPr="00000000">
        <w:rPr>
          <w:rFonts w:ascii="Arial" w:cs="Arial" w:eastAsia="Arial" w:hAnsi="Arial"/>
          <w:color w:val="1d1c1d"/>
          <w:sz w:val="23"/>
          <w:szCs w:val="23"/>
          <w:highlight w:val="white"/>
          <w:rtl w:val="0"/>
        </w:rPr>
        <w:t xml:space="preserve">All delegates are required to participate in six to eight virtual candidate interviews, which typically take place in May. These interviews will be organized over a two-week period and are expected to last between one hour and one hour and fifteen minutes for each candidate. Delegates may conduct more than one interview on a single day. Depending on varying time zones, the interviews may take place before, during, or after normal business hours.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Helvetica Neue" w:cs="Helvetica Neue" w:eastAsia="Helvetica Neue" w:hAnsi="Helvetica Neue"/>
          <w:color w:val="333333"/>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Background</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highlight w:val="white"/>
        </w:rPr>
      </w:pPr>
      <w:r w:rsidDel="00000000" w:rsidR="00000000" w:rsidRPr="00000000">
        <w:rPr>
          <w:rFonts w:ascii="Arial" w:cs="Arial" w:eastAsia="Arial" w:hAnsi="Arial"/>
          <w:rtl w:val="0"/>
        </w:rPr>
        <w:t xml:space="preserve">Per the </w:t>
      </w:r>
      <w:hyperlink r:id="rId7">
        <w:r w:rsidDel="00000000" w:rsidR="00000000" w:rsidRPr="00000000">
          <w:rPr>
            <w:rFonts w:ascii="Arial" w:cs="Arial" w:eastAsia="Arial" w:hAnsi="Arial"/>
            <w:u w:val="single"/>
            <w:rtl w:val="0"/>
          </w:rPr>
          <w:t xml:space="preserve">ICANN Bylaws Article 8</w:t>
        </w:r>
      </w:hyperlink>
      <w:r w:rsidDel="00000000" w:rsidR="00000000" w:rsidRPr="00000000">
        <w:rPr>
          <w:rFonts w:ascii="Arial" w:cs="Arial" w:eastAsia="Arial" w:hAnsi="Arial"/>
          <w:rtl w:val="0"/>
        </w:rPr>
        <w:t xml:space="preserve">, Section 8.1: The </w:t>
      </w:r>
      <w:r w:rsidDel="00000000" w:rsidR="00000000" w:rsidRPr="00000000">
        <w:rPr>
          <w:rFonts w:ascii="Arial" w:cs="Arial" w:eastAsia="Arial" w:hAnsi="Arial"/>
          <w:highlight w:val="white"/>
          <w:rtl w:val="0"/>
        </w:rPr>
        <w:t xml:space="preserve">Nominating Committee of </w:t>
      </w:r>
      <w:r w:rsidDel="00000000" w:rsidR="00000000" w:rsidRPr="00000000">
        <w:rPr>
          <w:rFonts w:ascii="Arial" w:cs="Arial" w:eastAsia="Arial" w:hAnsi="Arial"/>
          <w:rtl w:val="0"/>
        </w:rPr>
        <w:t xml:space="preserve">ICANN</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NomCom</w:t>
      </w:r>
      <w:r w:rsidDel="00000000" w:rsidR="00000000" w:rsidRPr="00000000">
        <w:rPr>
          <w:rFonts w:ascii="Arial" w:cs="Arial" w:eastAsia="Arial" w:hAnsi="Arial"/>
          <w:highlight w:val="white"/>
          <w:rtl w:val="0"/>
        </w:rPr>
        <w:t xml:space="preserve">"), is responsible for nominating all Directors except the President and those Directors nominated by Decisional Participants; for nominating two directors of PTI (in accordance with the articles of incorporation and bylaws of PTI); and for such other selections as are set forth in these Bylaws. Notification of the Nominating Committee's Director nominations shall be given by the Nominating Committee Chair in writing to the </w:t>
      </w:r>
      <w:r w:rsidDel="00000000" w:rsidR="00000000" w:rsidRPr="00000000">
        <w:rPr>
          <w:rFonts w:ascii="Arial" w:cs="Arial" w:eastAsia="Arial" w:hAnsi="Arial"/>
          <w:rtl w:val="0"/>
        </w:rPr>
        <w:t xml:space="preserve">EC</w:t>
      </w:r>
      <w:r w:rsidDel="00000000" w:rsidR="00000000" w:rsidRPr="00000000">
        <w:rPr>
          <w:rFonts w:ascii="Arial" w:cs="Arial" w:eastAsia="Arial" w:hAnsi="Arial"/>
          <w:highlight w:val="white"/>
          <w:rtl w:val="0"/>
        </w:rPr>
        <w:t xml:space="preserve"> Administration, with a copy to the Secretary, and the </w:t>
      </w:r>
      <w:r w:rsidDel="00000000" w:rsidR="00000000" w:rsidRPr="00000000">
        <w:rPr>
          <w:rFonts w:ascii="Arial" w:cs="Arial" w:eastAsia="Arial" w:hAnsi="Arial"/>
          <w:rtl w:val="0"/>
        </w:rPr>
        <w:t xml:space="preserve">EC</w:t>
      </w:r>
      <w:r w:rsidDel="00000000" w:rsidR="00000000" w:rsidRPr="00000000">
        <w:rPr>
          <w:rFonts w:ascii="Arial" w:cs="Arial" w:eastAsia="Arial" w:hAnsi="Arial"/>
          <w:highlight w:val="white"/>
          <w:rtl w:val="0"/>
        </w:rPr>
        <w:t xml:space="preserve"> shall promptly act on it as provided in Section 7.25. Notification of the Nominating Committee's PTI director nomination shall be given to the Secretary.</w:t>
      </w:r>
    </w:p>
    <w:p w:rsidR="00000000" w:rsidDel="00000000" w:rsidP="00000000" w:rsidRDefault="00000000" w:rsidRPr="00000000" w14:paraId="0000001C">
      <w:pPr>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Per ICANN Bylaws Article 8, Section 8.2: </w:t>
      </w:r>
    </w:p>
    <w:p w:rsidR="00000000" w:rsidDel="00000000" w:rsidP="00000000" w:rsidRDefault="00000000" w:rsidRPr="00000000" w14:paraId="0000001D">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1E">
      <w:pPr>
        <w:shd w:fill="ffffff" w:val="clear"/>
        <w:rPr>
          <w:rFonts w:ascii="Arial" w:cs="Arial" w:eastAsia="Arial" w:hAnsi="Arial"/>
          <w:b w:val="1"/>
        </w:rPr>
      </w:pPr>
      <w:r w:rsidDel="00000000" w:rsidR="00000000" w:rsidRPr="00000000">
        <w:rPr>
          <w:rFonts w:ascii="Arial" w:cs="Arial" w:eastAsia="Arial" w:hAnsi="Arial"/>
          <w:b w:val="1"/>
          <w:rtl w:val="0"/>
        </w:rPr>
        <w:t xml:space="preserve">Composition</w:t>
      </w:r>
    </w:p>
    <w:p w:rsidR="00000000" w:rsidDel="00000000" w:rsidP="00000000" w:rsidRDefault="00000000" w:rsidRPr="00000000" w14:paraId="0000001F">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The Nominating Committee shall be composed of the following persons:</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(a) A non-voting Chair, appointed by the Board;</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(b) A non-voting Chair-Elect, appointed by the Board as a non-voting advisor;</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(c) One voting delegate each selected by the following entities:</w:t>
      </w:r>
    </w:p>
    <w:p w:rsidR="00000000" w:rsidDel="00000000" w:rsidP="00000000" w:rsidRDefault="00000000" w:rsidRPr="00000000" w14:paraId="00000024">
      <w:pPr>
        <w:numPr>
          <w:ilvl w:val="0"/>
          <w:numId w:val="1"/>
        </w:numPr>
        <w:pBdr>
          <w:top w:color="000000" w:space="0" w:sz="0" w:val="none"/>
          <w:bottom w:color="000000" w:space="0" w:sz="0" w:val="none"/>
          <w:right w:color="000000" w:space="0" w:sz="0" w:val="none"/>
          <w:between w:color="000000" w:space="0" w:sz="0" w:val="none"/>
        </w:pBdr>
        <w:shd w:fill="fefefe" w:val="clear"/>
        <w:ind w:left="720" w:hanging="360"/>
        <w:rPr>
          <w:highlight w:val="white"/>
        </w:rPr>
      </w:pPr>
      <w:r w:rsidDel="00000000" w:rsidR="00000000" w:rsidRPr="00000000">
        <w:rPr>
          <w:rFonts w:ascii="Arial" w:cs="Arial" w:eastAsia="Arial" w:hAnsi="Arial"/>
          <w:color w:val="333333"/>
          <w:highlight w:val="white"/>
          <w:rtl w:val="0"/>
        </w:rPr>
        <w:t xml:space="preserve">The Address Council of the Address Supporting Organization established by Section 9.2</w:t>
      </w:r>
      <w:r w:rsidDel="00000000" w:rsidR="00000000" w:rsidRPr="00000000">
        <w:rPr>
          <w:rFonts w:ascii="Arial" w:cs="Arial" w:eastAsia="Arial" w:hAnsi="Arial"/>
          <w:b w:val="1"/>
          <w:color w:val="333333"/>
          <w:highlight w:val="white"/>
          <w:rtl w:val="0"/>
        </w:rPr>
        <w:t xml:space="preserve">;</w:t>
      </w:r>
      <w:r w:rsidDel="00000000" w:rsidR="00000000" w:rsidRPr="00000000">
        <w:rPr>
          <w:rtl w:val="0"/>
        </w:rPr>
      </w:r>
    </w:p>
    <w:p w:rsidR="00000000" w:rsidDel="00000000" w:rsidP="00000000" w:rsidRDefault="00000000" w:rsidRPr="00000000" w14:paraId="00000025">
      <w:pPr>
        <w:numPr>
          <w:ilvl w:val="0"/>
          <w:numId w:val="1"/>
        </w:numPr>
        <w:pBdr>
          <w:top w:color="000000" w:space="0" w:sz="0" w:val="none"/>
          <w:bottom w:color="000000" w:space="0" w:sz="0" w:val="none"/>
          <w:right w:color="000000" w:space="0" w:sz="0" w:val="none"/>
          <w:between w:color="000000" w:space="0" w:sz="0" w:val="none"/>
        </w:pBdr>
        <w:shd w:fill="fefefe" w:val="clear"/>
        <w:ind w:left="720" w:hanging="360"/>
        <w:rPr>
          <w:highlight w:val="white"/>
        </w:rPr>
      </w:pPr>
      <w:r w:rsidDel="00000000" w:rsidR="00000000" w:rsidRPr="00000000">
        <w:rPr>
          <w:rFonts w:ascii="Arial" w:cs="Arial" w:eastAsia="Arial" w:hAnsi="Arial"/>
          <w:color w:val="333333"/>
          <w:highlight w:val="white"/>
          <w:rtl w:val="0"/>
        </w:rPr>
        <w:t xml:space="preserve">The Council of the Country Code Names Supporting Organization established by Section 10.3</w:t>
      </w:r>
      <w:r w:rsidDel="00000000" w:rsidR="00000000" w:rsidRPr="00000000">
        <w:rPr>
          <w:rFonts w:ascii="Arial" w:cs="Arial" w:eastAsia="Arial" w:hAnsi="Arial"/>
          <w:b w:val="1"/>
          <w:color w:val="333333"/>
          <w:highlight w:val="white"/>
          <w:rtl w:val="0"/>
        </w:rPr>
        <w:t xml:space="preserve">;</w:t>
      </w:r>
      <w:r w:rsidDel="00000000" w:rsidR="00000000" w:rsidRPr="00000000">
        <w:rPr>
          <w:rtl w:val="0"/>
        </w:rPr>
      </w:r>
    </w:p>
    <w:p w:rsidR="00000000" w:rsidDel="00000000" w:rsidP="00000000" w:rsidRDefault="00000000" w:rsidRPr="00000000" w14:paraId="00000026">
      <w:pPr>
        <w:numPr>
          <w:ilvl w:val="0"/>
          <w:numId w:val="1"/>
        </w:numPr>
        <w:pBdr>
          <w:top w:color="000000" w:space="0" w:sz="0" w:val="none"/>
          <w:bottom w:color="000000" w:space="0" w:sz="0" w:val="none"/>
          <w:right w:color="000000" w:space="0" w:sz="0" w:val="none"/>
          <w:between w:color="000000" w:space="0" w:sz="0" w:val="none"/>
        </w:pBdr>
        <w:shd w:fill="fefefe" w:val="clear"/>
        <w:ind w:left="720" w:hanging="360"/>
        <w:rPr>
          <w:highlight w:val="white"/>
        </w:rPr>
      </w:pPr>
      <w:r w:rsidDel="00000000" w:rsidR="00000000" w:rsidRPr="00000000">
        <w:rPr>
          <w:rFonts w:ascii="Arial" w:cs="Arial" w:eastAsia="Arial" w:hAnsi="Arial"/>
          <w:color w:val="333333"/>
          <w:highlight w:val="white"/>
          <w:rtl w:val="0"/>
        </w:rPr>
        <w:t xml:space="preserve">The Governmental Advisory Committee established by Section 12.2(a)</w:t>
      </w:r>
      <w:r w:rsidDel="00000000" w:rsidR="00000000" w:rsidRPr="00000000">
        <w:rPr>
          <w:rtl w:val="0"/>
        </w:rPr>
      </w:r>
    </w:p>
    <w:p w:rsidR="00000000" w:rsidDel="00000000" w:rsidP="00000000" w:rsidRDefault="00000000" w:rsidRPr="00000000" w14:paraId="00000027">
      <w:pPr>
        <w:numPr>
          <w:ilvl w:val="0"/>
          <w:numId w:val="1"/>
        </w:numPr>
        <w:pBdr>
          <w:top w:color="000000" w:space="0" w:sz="0" w:val="none"/>
          <w:bottom w:color="000000" w:space="0" w:sz="0" w:val="none"/>
          <w:right w:color="000000" w:space="0" w:sz="0" w:val="none"/>
          <w:between w:color="000000" w:space="0" w:sz="0" w:val="none"/>
        </w:pBdr>
        <w:shd w:fill="fefefe" w:val="clear"/>
        <w:ind w:left="720" w:hanging="360"/>
        <w:rPr>
          <w:highlight w:val="white"/>
        </w:rPr>
      </w:pPr>
      <w:r w:rsidDel="00000000" w:rsidR="00000000" w:rsidRPr="00000000">
        <w:rPr>
          <w:rFonts w:ascii="Arial" w:cs="Arial" w:eastAsia="Arial" w:hAnsi="Arial"/>
          <w:color w:val="333333"/>
          <w:highlight w:val="white"/>
          <w:rtl w:val="0"/>
        </w:rPr>
        <w:t xml:space="preserve">The Security and Stability Advisory Committee established by Section 12.2(b);</w:t>
      </w:r>
      <w:r w:rsidDel="00000000" w:rsidR="00000000" w:rsidRPr="00000000">
        <w:rPr>
          <w:rtl w:val="0"/>
        </w:rPr>
      </w:r>
    </w:p>
    <w:p w:rsidR="00000000" w:rsidDel="00000000" w:rsidP="00000000" w:rsidRDefault="00000000" w:rsidRPr="00000000" w14:paraId="00000028">
      <w:pPr>
        <w:numPr>
          <w:ilvl w:val="0"/>
          <w:numId w:val="1"/>
        </w:numPr>
        <w:pBdr>
          <w:top w:color="000000" w:space="0" w:sz="0" w:val="none"/>
          <w:bottom w:color="000000" w:space="0" w:sz="0" w:val="none"/>
          <w:right w:color="000000" w:space="0" w:sz="0" w:val="none"/>
          <w:between w:color="000000" w:space="0" w:sz="0" w:val="none"/>
        </w:pBdr>
        <w:shd w:fill="fefefe" w:val="clear"/>
        <w:ind w:left="720" w:hanging="360"/>
        <w:rPr>
          <w:highlight w:val="white"/>
        </w:rPr>
      </w:pPr>
      <w:r w:rsidDel="00000000" w:rsidR="00000000" w:rsidRPr="00000000">
        <w:rPr>
          <w:rFonts w:ascii="Arial" w:cs="Arial" w:eastAsia="Arial" w:hAnsi="Arial"/>
          <w:color w:val="333333"/>
          <w:highlight w:val="white"/>
          <w:rtl w:val="0"/>
        </w:rPr>
        <w:t xml:space="preserve">The Root Server System Advisory Committee established by Section 12.2(c); and</w:t>
      </w:r>
      <w:r w:rsidDel="00000000" w:rsidR="00000000" w:rsidRPr="00000000">
        <w:rPr>
          <w:rtl w:val="0"/>
        </w:rPr>
      </w:r>
    </w:p>
    <w:p w:rsidR="00000000" w:rsidDel="00000000" w:rsidP="00000000" w:rsidRDefault="00000000" w:rsidRPr="00000000" w14:paraId="00000029">
      <w:pPr>
        <w:numPr>
          <w:ilvl w:val="0"/>
          <w:numId w:val="1"/>
        </w:numPr>
        <w:pBdr>
          <w:top w:color="000000" w:space="0" w:sz="0" w:val="none"/>
          <w:bottom w:color="000000" w:space="0" w:sz="0" w:val="none"/>
          <w:right w:color="000000" w:space="0" w:sz="0" w:val="none"/>
          <w:between w:color="000000" w:space="0" w:sz="0" w:val="none"/>
        </w:pBdr>
        <w:shd w:fill="fefefe" w:val="clear"/>
        <w:spacing w:after="360" w:lineRule="auto"/>
        <w:ind w:left="720" w:hanging="360"/>
        <w:rPr>
          <w:highlight w:val="white"/>
        </w:rPr>
      </w:pPr>
      <w:r w:rsidDel="00000000" w:rsidR="00000000" w:rsidRPr="00000000">
        <w:rPr>
          <w:rFonts w:ascii="Arial" w:cs="Arial" w:eastAsia="Arial" w:hAnsi="Arial"/>
          <w:color w:val="333333"/>
          <w:highlight w:val="white"/>
          <w:rtl w:val="0"/>
        </w:rPr>
        <w:t xml:space="preserve">The Internet Engineering Task Force.</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(d) Five voting delegates selected by the At-Large Advisory Committee established by Section 12.2(d);</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(e) Seven voting delegates </w:t>
      </w:r>
      <w:r w:rsidDel="00000000" w:rsidR="00000000" w:rsidRPr="00000000">
        <w:rPr>
          <w:rFonts w:ascii="Arial" w:cs="Arial" w:eastAsia="Arial" w:hAnsi="Arial"/>
          <w:color w:val="333333"/>
          <w:highlight w:val="white"/>
          <w:rtl w:val="0"/>
        </w:rPr>
        <w:t xml:space="preserve">to the Nominating Committee shall be</w:t>
      </w:r>
      <w:r w:rsidDel="00000000" w:rsidR="00000000" w:rsidRPr="00000000">
        <w:rPr>
          <w:rFonts w:ascii="Arial" w:cs="Arial" w:eastAsia="Arial" w:hAnsi="Arial"/>
          <w:color w:val="333333"/>
          <w:highlight w:val="white"/>
          <w:rtl w:val="0"/>
        </w:rPr>
        <w:t xml:space="preserve"> selected from the Generic Names Supporting Organization established by Article 11,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(i) One delegate from the Registries Stakeholder Group;</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(ii) One delegate from the Registrars Stakeholder Group;</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(iii) Two delegates from the Business Constituency, one representing small business users and one representing large business users;</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(iv) One delegate from the Internet Service Providers and Connectivity Providers Constituency (as defined in Section 11.5(a)(iii));</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(v) One delegate from the Intellectual Property Constituency; and</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after="360" w:lineRule="auto"/>
        <w:rPr>
          <w:rFonts w:ascii="Arial" w:cs="Arial" w:eastAsia="Arial" w:hAnsi="Arial"/>
          <w:color w:val="333333"/>
          <w:shd w:fill="fefefe" w:val="clear"/>
        </w:rPr>
      </w:pPr>
      <w:r w:rsidDel="00000000" w:rsidR="00000000" w:rsidRPr="00000000">
        <w:rPr>
          <w:rFonts w:ascii="Arial" w:cs="Arial" w:eastAsia="Arial" w:hAnsi="Arial"/>
          <w:color w:val="333333"/>
          <w:shd w:fill="fefefe" w:val="clear"/>
          <w:rtl w:val="0"/>
        </w:rPr>
        <w:t xml:space="preserve">(vi) One delegate from consumer and civil society groups, selected by the Non-Commercial Users Constituency.</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efefe" w:val="clear"/>
        <w:spacing w:after="360" w:lineRule="auto"/>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(f) A non-voting Associate Chair, who may be appointed by the Chair, at his or her sole discretion, to serve during all or part of the term of the Chair. The Associate Chair may not be a person who is otherwise a member of the same Nominating Committee. The Associate Chair shall assist the Chair in carrying out the duties of the Chair, but shall not serve, temporarily or otherwise, in the place of the Chair.</w:t>
      </w:r>
    </w:p>
    <w:p w:rsidR="00000000" w:rsidDel="00000000" w:rsidP="00000000" w:rsidRDefault="00000000" w:rsidRPr="00000000" w14:paraId="00000033">
      <w:pPr>
        <w:shd w:fill="ffffff"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034">
      <w:pPr>
        <w:shd w:fill="ffffff"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035">
      <w:pPr>
        <w:shd w:fill="ffffff"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036">
      <w:pPr>
        <w:shd w:fill="ffffff" w:val="clea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Terms</w:t>
      </w:r>
    </w:p>
    <w:p w:rsidR="00000000" w:rsidDel="00000000" w:rsidP="00000000" w:rsidRDefault="00000000" w:rsidRPr="00000000" w14:paraId="00000037">
      <w:pPr>
        <w:shd w:fill="ffffff"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038">
      <w:pPr>
        <w:shd w:fill="ffffff" w:val="clea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Per ICANN Bylaws Article 8, Section 8.3: </w:t>
      </w:r>
    </w:p>
    <w:p w:rsidR="00000000" w:rsidDel="00000000" w:rsidP="00000000" w:rsidRDefault="00000000" w:rsidRPr="00000000" w14:paraId="00000039">
      <w:pPr>
        <w:shd w:fill="ffffff" w:val="clear"/>
        <w:rPr>
          <w:rFonts w:ascii="Arial" w:cs="Arial" w:eastAsia="Arial" w:hAnsi="Arial"/>
          <w:highlight w:val="white"/>
        </w:rPr>
      </w:pPr>
      <w:r w:rsidDel="00000000" w:rsidR="00000000" w:rsidRPr="00000000">
        <w:rPr>
          <w:rtl w:val="0"/>
        </w:rPr>
      </w:r>
    </w:p>
    <w:p w:rsidR="00000000" w:rsidDel="00000000" w:rsidP="00000000" w:rsidRDefault="00000000" w:rsidRPr="00000000" w14:paraId="0000003A">
      <w:pPr>
        <w:shd w:fill="ffffff" w:val="clear"/>
        <w:rPr>
          <w:rFonts w:ascii="Arial" w:cs="Arial" w:eastAsia="Arial" w:hAnsi="Arial"/>
        </w:rPr>
      </w:pPr>
      <w:r w:rsidDel="00000000" w:rsidR="00000000" w:rsidRPr="00000000">
        <w:rPr>
          <w:rFonts w:ascii="Arial" w:cs="Arial" w:eastAsia="Arial" w:hAnsi="Arial"/>
          <w:rtl w:val="0"/>
        </w:rPr>
        <w:t xml:space="preserve">(a) The term for each voting delegate shall be a two-year term. No individual may serve as a delegate for more than two terms. In addition, no individual may serve in consecutive terms, regardless of the entity selecting them to the Nominating Committee. An individual will only be eligible to serve a second term as a delegate on the Nominating committee if a minimum of two years has elapsed between the end of their first term and the beginning of the term for which they are being selected.</w:t>
      </w:r>
    </w:p>
    <w:p w:rsidR="00000000" w:rsidDel="00000000" w:rsidP="00000000" w:rsidRDefault="00000000" w:rsidRPr="00000000" w14:paraId="0000003B">
      <w:pPr>
        <w:shd w:fill="ffffff" w:val="clear"/>
        <w:rPr>
          <w:rFonts w:ascii="Arial" w:cs="Arial" w:eastAsia="Arial" w:hAnsi="Arial"/>
          <w:color w:val="0000ff"/>
        </w:rPr>
      </w:pPr>
      <w:r w:rsidDel="00000000" w:rsidR="00000000" w:rsidRPr="00000000">
        <w:rPr>
          <w:rFonts w:ascii="Arial" w:cs="Arial" w:eastAsia="Arial" w:hAnsi="Arial"/>
          <w:rtl w:val="0"/>
        </w:rPr>
        <w:t xml:space="preserve">(b) The regular term of each voting delegate shall begin at the conclusion of an ICANN annual meeting and shall end at the conclusion of the ICANN annual meeting in two years, subject to the </w:t>
      </w:r>
      <w:hyperlink r:id="rId8">
        <w:r w:rsidDel="00000000" w:rsidR="00000000" w:rsidRPr="00000000">
          <w:rPr>
            <w:rFonts w:ascii="Arial" w:cs="Arial" w:eastAsia="Arial" w:hAnsi="Arial"/>
            <w:color w:val="0000ff"/>
            <w:u w:val="single"/>
            <w:rtl w:val="0"/>
          </w:rPr>
          <w:t xml:space="preserve">Transition Article Section </w:t>
        </w:r>
      </w:hyperlink>
      <w:r w:rsidDel="00000000" w:rsidR="00000000" w:rsidRPr="00000000">
        <w:rPr>
          <w:rFonts w:ascii="Arial" w:cs="Arial" w:eastAsia="Arial" w:hAnsi="Arial"/>
          <w:color w:val="0000ff"/>
          <w:rtl w:val="0"/>
        </w:rPr>
        <w:t xml:space="preserve"> 27.5.</w:t>
      </w:r>
    </w:p>
    <w:p w:rsidR="00000000" w:rsidDel="00000000" w:rsidP="00000000" w:rsidRDefault="00000000" w:rsidRPr="00000000" w14:paraId="0000003C">
      <w:pPr>
        <w:shd w:fill="ffffff" w:val="clear"/>
        <w:rPr>
          <w:rFonts w:ascii="Arial" w:cs="Arial" w:eastAsia="Arial" w:hAnsi="Arial"/>
        </w:rPr>
      </w:pPr>
      <w:r w:rsidDel="00000000" w:rsidR="00000000" w:rsidRPr="00000000">
        <w:rPr>
          <w:rFonts w:ascii="Arial" w:cs="Arial" w:eastAsia="Arial" w:hAnsi="Arial"/>
          <w:rtl w:val="0"/>
        </w:rPr>
        <w:t xml:space="preserve">(c) The Chair, the Chair-Elect, and any Associate Chair shall serve as such until the conclusion of the next ICANN annual meeting.</w:t>
      </w:r>
    </w:p>
    <w:p w:rsidR="00000000" w:rsidDel="00000000" w:rsidP="00000000" w:rsidRDefault="00000000" w:rsidRPr="00000000" w14:paraId="0000003D">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3E">
      <w:pPr>
        <w:shd w:fill="ffffff" w:val="clear"/>
        <w:rPr>
          <w:rFonts w:ascii="Arial" w:cs="Arial" w:eastAsia="Arial" w:hAnsi="Arial"/>
          <w:b w:val="1"/>
        </w:rPr>
      </w:pPr>
      <w:r w:rsidDel="00000000" w:rsidR="00000000" w:rsidRPr="00000000">
        <w:rPr>
          <w:rFonts w:ascii="Arial" w:cs="Arial" w:eastAsia="Arial" w:hAnsi="Arial"/>
          <w:b w:val="1"/>
          <w:rtl w:val="0"/>
        </w:rPr>
        <w:t xml:space="preserve">Delegates to the ICANN Nominating Committee shall be,</w:t>
      </w:r>
    </w:p>
    <w:p w:rsidR="00000000" w:rsidDel="00000000" w:rsidP="00000000" w:rsidRDefault="00000000" w:rsidRPr="00000000" w14:paraId="0000003F">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40">
      <w:pPr>
        <w:shd w:fill="ffffff" w:val="clear"/>
        <w:rPr>
          <w:rFonts w:ascii="Arial" w:cs="Arial" w:eastAsia="Arial" w:hAnsi="Arial"/>
          <w:b w:val="1"/>
          <w:i w:val="1"/>
        </w:rPr>
      </w:pPr>
      <w:r w:rsidDel="00000000" w:rsidR="00000000" w:rsidRPr="00000000">
        <w:rPr>
          <w:rFonts w:ascii="Arial" w:cs="Arial" w:eastAsia="Arial" w:hAnsi="Arial"/>
          <w:i w:val="1"/>
          <w:rtl w:val="0"/>
        </w:rPr>
        <w:t xml:space="preserve">Per ICANN Bylaws Article 8, Section 8.4 Criteria For Selection of Nominating Committee Delegates</w:t>
      </w:r>
      <w:r w:rsidDel="00000000" w:rsidR="00000000" w:rsidRPr="00000000">
        <w:rPr>
          <w:rtl w:val="0"/>
        </w:rPr>
      </w:r>
    </w:p>
    <w:p w:rsidR="00000000" w:rsidDel="00000000" w:rsidP="00000000" w:rsidRDefault="00000000" w:rsidRPr="00000000" w14:paraId="00000041">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42">
      <w:pPr>
        <w:shd w:fill="ffffff" w:val="clear"/>
        <w:rPr>
          <w:rFonts w:ascii="Arial" w:cs="Arial" w:eastAsia="Arial" w:hAnsi="Arial"/>
        </w:rPr>
      </w:pPr>
      <w:r w:rsidDel="00000000" w:rsidR="00000000" w:rsidRPr="00000000">
        <w:rPr>
          <w:rFonts w:ascii="Arial" w:cs="Arial" w:eastAsia="Arial" w:hAnsi="Arial"/>
          <w:rtl w:val="0"/>
        </w:rPr>
        <w:t xml:space="preserve">(a) Accomplished persons of integrity, objectivity, and intelligence, with reputations for sound judgment and open minds, and with experience and competence with collegial large group decision-making;</w:t>
      </w:r>
    </w:p>
    <w:p w:rsidR="00000000" w:rsidDel="00000000" w:rsidP="00000000" w:rsidRDefault="00000000" w:rsidRPr="00000000" w14:paraId="00000043">
      <w:pPr>
        <w:shd w:fill="ffffff" w:val="clear"/>
        <w:rPr>
          <w:rFonts w:ascii="Arial" w:cs="Arial" w:eastAsia="Arial" w:hAnsi="Arial"/>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rtl w:val="0"/>
        </w:rPr>
        <w:t xml:space="preserve">) Persons with wide contacts, broad experience in the Internet community, and a commitment to the success of ICANN;</w:t>
      </w:r>
      <w:r w:rsidDel="00000000" w:rsidR="00000000" w:rsidRPr="00000000">
        <w:rPr>
          <w:rtl w:val="0"/>
        </w:rPr>
      </w:r>
    </w:p>
    <w:p w:rsidR="00000000" w:rsidDel="00000000" w:rsidP="00000000" w:rsidRDefault="00000000" w:rsidRPr="00000000" w14:paraId="00000044">
      <w:pPr>
        <w:shd w:fill="ffffff" w:val="clear"/>
        <w:rPr>
          <w:rFonts w:ascii="Arial" w:cs="Arial" w:eastAsia="Arial" w:hAnsi="Arial"/>
        </w:rPr>
      </w:pPr>
      <w:r w:rsidDel="00000000" w:rsidR="00000000" w:rsidRPr="00000000">
        <w:rPr>
          <w:rFonts w:ascii="Arial" w:cs="Arial" w:eastAsia="Arial" w:hAnsi="Arial"/>
          <w:rtl w:val="0"/>
        </w:rPr>
        <w:t xml:space="preserve">(c) Persons whom the selecting body is confident will consult widely and accept input in carrying out their responsibilities;</w:t>
      </w:r>
    </w:p>
    <w:p w:rsidR="00000000" w:rsidDel="00000000" w:rsidP="00000000" w:rsidRDefault="00000000" w:rsidRPr="00000000" w14:paraId="00000045">
      <w:pPr>
        <w:shd w:fill="ffffff" w:val="clear"/>
        <w:rPr>
          <w:rFonts w:ascii="Arial" w:cs="Arial" w:eastAsia="Arial" w:hAnsi="Arial"/>
        </w:rPr>
      </w:pPr>
      <w:r w:rsidDel="00000000" w:rsidR="00000000" w:rsidRPr="00000000">
        <w:rPr>
          <w:rFonts w:ascii="Arial" w:cs="Arial" w:eastAsia="Arial" w:hAnsi="Arial"/>
          <w:rtl w:val="0"/>
        </w:rPr>
        <w:t xml:space="preserve">(d) Persons who are neutral and objective, </w:t>
      </w:r>
      <w:r w:rsidDel="00000000" w:rsidR="00000000" w:rsidRPr="00000000">
        <w:rPr>
          <w:rFonts w:ascii="Arial" w:cs="Arial" w:eastAsia="Arial" w:hAnsi="Arial"/>
          <w:rtl w:val="0"/>
        </w:rPr>
        <w:t xml:space="preserve">without any fixed personal commitments to particular individuals, organizations, or commercial objectives in carrying out their Nominating Committee responsibilities.</w:t>
      </w:r>
      <w:r w:rsidDel="00000000" w:rsidR="00000000" w:rsidRPr="00000000">
        <w:rPr>
          <w:rtl w:val="0"/>
        </w:rPr>
      </w:r>
    </w:p>
    <w:p w:rsidR="00000000" w:rsidDel="00000000" w:rsidP="00000000" w:rsidRDefault="00000000" w:rsidRPr="00000000" w14:paraId="00000046">
      <w:pPr>
        <w:shd w:fill="ffffff" w:val="clear"/>
        <w:rPr>
          <w:rFonts w:ascii="Arial" w:cs="Arial" w:eastAsia="Arial" w:hAnsi="Arial"/>
        </w:rPr>
      </w:pPr>
      <w:r w:rsidDel="00000000" w:rsidR="00000000" w:rsidRPr="00000000">
        <w:rPr>
          <w:rFonts w:ascii="Arial" w:cs="Arial" w:eastAsia="Arial" w:hAnsi="Arial"/>
          <w:rtl w:val="0"/>
        </w:rPr>
        <w:t xml:space="preserve">(e) Persons with an understanding of ICANN and </w:t>
      </w:r>
      <w:r w:rsidDel="00000000" w:rsidR="00000000" w:rsidRPr="00000000">
        <w:rPr>
          <w:rFonts w:ascii="Arial" w:cs="Arial" w:eastAsia="Arial" w:hAnsi="Arial"/>
          <w:rtl w:val="0"/>
        </w:rPr>
        <w:t xml:space="preserve">it's</w:t>
      </w:r>
      <w:r w:rsidDel="00000000" w:rsidR="00000000" w:rsidRPr="00000000">
        <w:rPr>
          <w:rFonts w:ascii="Arial" w:cs="Arial" w:eastAsia="Arial" w:hAnsi="Arial"/>
          <w:rtl w:val="0"/>
        </w:rPr>
        <w:t xml:space="preserve"> mission and the potential impact of ICANN's activities on the broader Internet community who are willing to serve as volunteers, without compensation other than the reimbursement of certain expenses; and</w:t>
      </w:r>
    </w:p>
    <w:p w:rsidR="00000000" w:rsidDel="00000000" w:rsidP="00000000" w:rsidRDefault="00000000" w:rsidRPr="00000000" w14:paraId="00000047">
      <w:pPr>
        <w:shd w:fill="ffffff" w:val="clear"/>
        <w:rPr>
          <w:rFonts w:ascii="Arial" w:cs="Arial" w:eastAsia="Arial" w:hAnsi="Arial"/>
        </w:rPr>
      </w:pPr>
      <w:r w:rsidDel="00000000" w:rsidR="00000000" w:rsidRPr="00000000">
        <w:rPr>
          <w:rFonts w:ascii="Arial" w:cs="Arial" w:eastAsia="Arial" w:hAnsi="Arial"/>
          <w:rtl w:val="0"/>
        </w:rPr>
        <w:t xml:space="preserve">(f) Persons who are able to work and communicate in written and spoken English.</w:t>
      </w:r>
    </w:p>
    <w:p w:rsidR="00000000" w:rsidDel="00000000" w:rsidP="00000000" w:rsidRDefault="00000000" w:rsidRPr="00000000" w14:paraId="00000048">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49">
      <w:pPr>
        <w:shd w:fill="ffffff" w:val="clear"/>
        <w:rPr>
          <w:rFonts w:ascii="Arial" w:cs="Arial" w:eastAsia="Arial" w:hAnsi="Arial"/>
          <w:b w:val="1"/>
        </w:rPr>
      </w:pPr>
      <w:r w:rsidDel="00000000" w:rsidR="00000000" w:rsidRPr="00000000">
        <w:rPr>
          <w:rFonts w:ascii="Arial" w:cs="Arial" w:eastAsia="Arial" w:hAnsi="Arial"/>
          <w:b w:val="1"/>
          <w:rtl w:val="0"/>
        </w:rPr>
        <w:t xml:space="preserve">Other Criteria</w:t>
      </w:r>
    </w:p>
    <w:p w:rsidR="00000000" w:rsidDel="00000000" w:rsidP="00000000" w:rsidRDefault="00000000" w:rsidRPr="00000000" w14:paraId="0000004A">
      <w:pPr>
        <w:shd w:fill="ffffff" w:val="clear"/>
        <w:rPr>
          <w:rFonts w:ascii="Arial" w:cs="Arial" w:eastAsia="Arial" w:hAnsi="Arial"/>
          <w:b w:val="1"/>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Familiarity with the ICANN groups to which the NomCom appoints (Board, ALAC, GNSO, ccNSO)</w:t>
      </w:r>
      <w:r w:rsidDel="00000000" w:rsidR="00000000" w:rsidRPr="00000000">
        <w:rPr>
          <w:rtl w:val="0"/>
        </w:rPr>
      </w:r>
    </w:p>
    <w:p w:rsidR="00000000" w:rsidDel="00000000" w:rsidP="00000000" w:rsidRDefault="00000000" w:rsidRPr="00000000" w14:paraId="0000004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 understanding of Non-profit Board Governance similar in size and scope of ICANN</w:t>
      </w:r>
    </w:p>
    <w:p w:rsidR="00000000" w:rsidDel="00000000" w:rsidP="00000000" w:rsidRDefault="00000000" w:rsidRPr="00000000" w14:paraId="0000004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Prior experience in executive recruiting and Human Resources is a plus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ind w:right="360"/>
      <w:jc w:val="right"/>
      <w:rPr>
        <w:color w:val="000000"/>
      </w:rPr>
    </w:pPr>
    <w:r w:rsidDel="00000000" w:rsidR="00000000" w:rsidRPr="00000000">
      <w:rPr>
        <w:color w:val="000000"/>
        <w:rtl w:val="0"/>
      </w:rPr>
      <w:t xml:space="preserve">DRAFT – 06 </w:t>
    </w:r>
    <w:r w:rsidDel="00000000" w:rsidR="00000000" w:rsidRPr="00000000">
      <w:rPr>
        <w:rtl w:val="0"/>
      </w:rPr>
      <w:t xml:space="preserve">MAY 2025</w:t>
    </w:r>
    <w:r w:rsidDel="00000000" w:rsidR="00000000" w:rsidRPr="00000000">
      <w:rPr>
        <w:color w:val="000000"/>
        <w:rtl w:val="0"/>
      </w:rPr>
      <w:t xml:space="preserve"> -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8"/>
        <w:szCs w:val="28"/>
      </w:rPr>
    </w:pPr>
    <w:r w:rsidDel="00000000" w:rsidR="00000000" w:rsidRPr="00000000">
      <w:rPr/>
      <w:pict>
        <v:shape id="PowerPlusWaterMarkObject1" style="position:absolute;width:492.1pt;height:169.75pt;rotation:315;z-index:-503316481;mso-position-horizontal-relative:margin;mso-position-horizontal:center;mso-position-vertical-relative:margin;mso-position-vertical:center;" fillcolor="#e8eaed" stroked="f" type="#_x0000_t136">
          <v:fill angle="0" opacity="20972f"/>
          <v:textpath fitshape="t" string="DRAFT" style="font-family:&amp;quot;&quot;&amp;quot&quot;&amp;quot;;font-size:1pt;"/>
        </v:shape>
      </w:pict>
    </w:r>
    <w:r w:rsidDel="00000000" w:rsidR="00000000" w:rsidRPr="00000000">
      <w:rPr>
        <w:b w:val="1"/>
        <w:color w:val="000000"/>
        <w:sz w:val="28"/>
        <w:szCs w:val="28"/>
        <w:rtl w:val="0"/>
      </w:rPr>
      <w:t xml:space="preserve">ICANN Nominating Committee </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8"/>
        <w:szCs w:val="28"/>
      </w:rPr>
    </w:pPr>
    <w:r w:rsidDel="00000000" w:rsidR="00000000" w:rsidRPr="00000000">
      <w:rPr>
        <w:b w:val="1"/>
        <w:color w:val="000000"/>
        <w:sz w:val="28"/>
        <w:szCs w:val="28"/>
        <w:rtl w:val="0"/>
      </w:rPr>
      <w:t xml:space="preserve">Delegate</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Job Description</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jc w:val="center"/>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40" w:hanging="360"/>
      </w:pPr>
      <w:rPr>
        <w:rFonts w:ascii="Noto Sans Symbols" w:cs="Noto Sans Symbols" w:eastAsia="Noto Sans Symbols" w:hAnsi="Noto Sans Symbols"/>
      </w:rPr>
    </w:lvl>
    <w:lvl w:ilvl="1">
      <w:start w:val="1"/>
      <w:numFmt w:val="bullet"/>
      <w:lvlText w:val="o"/>
      <w:lvlJc w:val="left"/>
      <w:pPr>
        <w:ind w:left="1460" w:hanging="360"/>
      </w:pPr>
      <w:rPr>
        <w:rFonts w:ascii="Courier New" w:cs="Courier New" w:eastAsia="Courier New" w:hAnsi="Courier New"/>
      </w:rPr>
    </w:lvl>
    <w:lvl w:ilvl="2">
      <w:start w:val="1"/>
      <w:numFmt w:val="bullet"/>
      <w:lvlText w:val="▪"/>
      <w:lvlJc w:val="left"/>
      <w:pPr>
        <w:ind w:left="2180" w:hanging="360"/>
      </w:pPr>
      <w:rPr>
        <w:rFonts w:ascii="Noto Sans Symbols" w:cs="Noto Sans Symbols" w:eastAsia="Noto Sans Symbols" w:hAnsi="Noto Sans Symbols"/>
      </w:rPr>
    </w:lvl>
    <w:lvl w:ilvl="3">
      <w:start w:val="1"/>
      <w:numFmt w:val="bullet"/>
      <w:lvlText w:val="●"/>
      <w:lvlJc w:val="left"/>
      <w:pPr>
        <w:ind w:left="2900" w:hanging="360"/>
      </w:pPr>
      <w:rPr>
        <w:rFonts w:ascii="Noto Sans Symbols" w:cs="Noto Sans Symbols" w:eastAsia="Noto Sans Symbols" w:hAnsi="Noto Sans Symbols"/>
      </w:rPr>
    </w:lvl>
    <w:lvl w:ilvl="4">
      <w:start w:val="1"/>
      <w:numFmt w:val="bullet"/>
      <w:lvlText w:val="o"/>
      <w:lvlJc w:val="left"/>
      <w:pPr>
        <w:ind w:left="3620" w:hanging="360"/>
      </w:pPr>
      <w:rPr>
        <w:rFonts w:ascii="Courier New" w:cs="Courier New" w:eastAsia="Courier New" w:hAnsi="Courier New"/>
      </w:rPr>
    </w:lvl>
    <w:lvl w:ilvl="5">
      <w:start w:val="1"/>
      <w:numFmt w:val="bullet"/>
      <w:lvlText w:val="▪"/>
      <w:lvlJc w:val="left"/>
      <w:pPr>
        <w:ind w:left="4340" w:hanging="360"/>
      </w:pPr>
      <w:rPr>
        <w:rFonts w:ascii="Noto Sans Symbols" w:cs="Noto Sans Symbols" w:eastAsia="Noto Sans Symbols" w:hAnsi="Noto Sans Symbols"/>
      </w:rPr>
    </w:lvl>
    <w:lvl w:ilvl="6">
      <w:start w:val="1"/>
      <w:numFmt w:val="bullet"/>
      <w:lvlText w:val="●"/>
      <w:lvlJc w:val="left"/>
      <w:pPr>
        <w:ind w:left="5060" w:hanging="360"/>
      </w:pPr>
      <w:rPr>
        <w:rFonts w:ascii="Noto Sans Symbols" w:cs="Noto Sans Symbols" w:eastAsia="Noto Sans Symbols" w:hAnsi="Noto Sans Symbols"/>
      </w:rPr>
    </w:lvl>
    <w:lvl w:ilvl="7">
      <w:start w:val="1"/>
      <w:numFmt w:val="bullet"/>
      <w:lvlText w:val="o"/>
      <w:lvlJc w:val="left"/>
      <w:pPr>
        <w:ind w:left="5780" w:hanging="360"/>
      </w:pPr>
      <w:rPr>
        <w:rFonts w:ascii="Courier New" w:cs="Courier New" w:eastAsia="Courier New" w:hAnsi="Courier New"/>
      </w:rPr>
    </w:lvl>
    <w:lvl w:ilvl="8">
      <w:start w:val="1"/>
      <w:numFmt w:val="bullet"/>
      <w:lvlText w:val="▪"/>
      <w:lvlJc w:val="left"/>
      <w:pPr>
        <w:ind w:left="6500" w:hanging="360"/>
      </w:pPr>
      <w:rPr>
        <w:rFonts w:ascii="Noto Sans Symbols" w:cs="Noto Sans Symbols" w:eastAsia="Noto Sans Symbols" w:hAnsi="Noto Sans Symbols"/>
      </w:rPr>
    </w:lvl>
  </w:abstractNum>
  <w:abstractNum w:abstractNumId="4">
    <w:lvl w:ilvl="0">
      <w:start w:val="1"/>
      <w:numFmt w:val="bullet"/>
      <w:lvlText w:val="●"/>
      <w:lvlJc w:val="left"/>
      <w:pPr>
        <w:ind w:left="740" w:hanging="360"/>
      </w:pPr>
      <w:rPr>
        <w:rFonts w:ascii="Noto Sans Symbols" w:cs="Noto Sans Symbols" w:eastAsia="Noto Sans Symbols" w:hAnsi="Noto Sans Symbols"/>
      </w:rPr>
    </w:lvl>
    <w:lvl w:ilvl="1">
      <w:start w:val="1"/>
      <w:numFmt w:val="bullet"/>
      <w:lvlText w:val="o"/>
      <w:lvlJc w:val="left"/>
      <w:pPr>
        <w:ind w:left="1460" w:hanging="360"/>
      </w:pPr>
      <w:rPr>
        <w:rFonts w:ascii="Courier New" w:cs="Courier New" w:eastAsia="Courier New" w:hAnsi="Courier New"/>
      </w:rPr>
    </w:lvl>
    <w:lvl w:ilvl="2">
      <w:start w:val="1"/>
      <w:numFmt w:val="bullet"/>
      <w:lvlText w:val="▪"/>
      <w:lvlJc w:val="left"/>
      <w:pPr>
        <w:ind w:left="2180" w:hanging="360"/>
      </w:pPr>
      <w:rPr>
        <w:rFonts w:ascii="Noto Sans Symbols" w:cs="Noto Sans Symbols" w:eastAsia="Noto Sans Symbols" w:hAnsi="Noto Sans Symbols"/>
      </w:rPr>
    </w:lvl>
    <w:lvl w:ilvl="3">
      <w:start w:val="1"/>
      <w:numFmt w:val="bullet"/>
      <w:lvlText w:val="●"/>
      <w:lvlJc w:val="left"/>
      <w:pPr>
        <w:ind w:left="2900" w:hanging="360"/>
      </w:pPr>
      <w:rPr>
        <w:rFonts w:ascii="Noto Sans Symbols" w:cs="Noto Sans Symbols" w:eastAsia="Noto Sans Symbols" w:hAnsi="Noto Sans Symbols"/>
      </w:rPr>
    </w:lvl>
    <w:lvl w:ilvl="4">
      <w:start w:val="1"/>
      <w:numFmt w:val="bullet"/>
      <w:lvlText w:val="o"/>
      <w:lvlJc w:val="left"/>
      <w:pPr>
        <w:ind w:left="3620" w:hanging="360"/>
      </w:pPr>
      <w:rPr>
        <w:rFonts w:ascii="Courier New" w:cs="Courier New" w:eastAsia="Courier New" w:hAnsi="Courier New"/>
      </w:rPr>
    </w:lvl>
    <w:lvl w:ilvl="5">
      <w:start w:val="1"/>
      <w:numFmt w:val="bullet"/>
      <w:lvlText w:val="▪"/>
      <w:lvlJc w:val="left"/>
      <w:pPr>
        <w:ind w:left="4340" w:hanging="360"/>
      </w:pPr>
      <w:rPr>
        <w:rFonts w:ascii="Noto Sans Symbols" w:cs="Noto Sans Symbols" w:eastAsia="Noto Sans Symbols" w:hAnsi="Noto Sans Symbols"/>
      </w:rPr>
    </w:lvl>
    <w:lvl w:ilvl="6">
      <w:start w:val="1"/>
      <w:numFmt w:val="bullet"/>
      <w:lvlText w:val="●"/>
      <w:lvlJc w:val="left"/>
      <w:pPr>
        <w:ind w:left="5060" w:hanging="360"/>
      </w:pPr>
      <w:rPr>
        <w:rFonts w:ascii="Noto Sans Symbols" w:cs="Noto Sans Symbols" w:eastAsia="Noto Sans Symbols" w:hAnsi="Noto Sans Symbols"/>
      </w:rPr>
    </w:lvl>
    <w:lvl w:ilvl="7">
      <w:start w:val="1"/>
      <w:numFmt w:val="bullet"/>
      <w:lvlText w:val="o"/>
      <w:lvlJc w:val="left"/>
      <w:pPr>
        <w:ind w:left="5780" w:hanging="360"/>
      </w:pPr>
      <w:rPr>
        <w:rFonts w:ascii="Courier New" w:cs="Courier New" w:eastAsia="Courier New" w:hAnsi="Courier New"/>
      </w:rPr>
    </w:lvl>
    <w:lvl w:ilvl="8">
      <w:start w:val="1"/>
      <w:numFmt w:val="bullet"/>
      <w:lvlText w:val="▪"/>
      <w:lvlJc w:val="left"/>
      <w:pPr>
        <w:ind w:left="65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Header">
    <w:name w:val="header"/>
    <w:basedOn w:val="Normal"/>
    <w:link w:val="HeaderChar"/>
    <w:uiPriority w:val="99"/>
    <w:unhideWhenUsed w:val="1"/>
    <w:rsid w:val="006A629B"/>
    <w:pPr>
      <w:tabs>
        <w:tab w:val="center" w:pos="4680"/>
        <w:tab w:val="right" w:pos="9360"/>
      </w:tabs>
    </w:pPr>
  </w:style>
  <w:style w:type="character" w:styleId="HeaderChar" w:customStyle="1">
    <w:name w:val="Header Char"/>
    <w:basedOn w:val="DefaultParagraphFont"/>
    <w:link w:val="Header"/>
    <w:uiPriority w:val="99"/>
    <w:rsid w:val="006A629B"/>
  </w:style>
  <w:style w:type="paragraph" w:styleId="Footer">
    <w:name w:val="footer"/>
    <w:basedOn w:val="Normal"/>
    <w:link w:val="FooterChar"/>
    <w:uiPriority w:val="99"/>
    <w:unhideWhenUsed w:val="1"/>
    <w:rsid w:val="006A629B"/>
    <w:pPr>
      <w:tabs>
        <w:tab w:val="center" w:pos="4680"/>
        <w:tab w:val="right" w:pos="9360"/>
      </w:tabs>
    </w:pPr>
  </w:style>
  <w:style w:type="character" w:styleId="FooterChar" w:customStyle="1">
    <w:name w:val="Footer Char"/>
    <w:basedOn w:val="DefaultParagraphFont"/>
    <w:link w:val="Footer"/>
    <w:uiPriority w:val="99"/>
    <w:rsid w:val="006A629B"/>
  </w:style>
  <w:style w:type="character" w:styleId="PageNumber">
    <w:name w:val="page number"/>
    <w:basedOn w:val="DefaultParagraphFont"/>
    <w:uiPriority w:val="99"/>
    <w:semiHidden w:val="1"/>
    <w:unhideWhenUsed w:val="1"/>
    <w:rsid w:val="006A629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cann.org/resources/pages/governance/bylaws-en/#article8" TargetMode="External"/><Relationship Id="rId8" Type="http://schemas.openxmlformats.org/officeDocument/2006/relationships/hyperlink" Target="https://www.icann.org/resources/pages/governance/bylaws-en/#article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N4A2JehwDafJAEs0E2orGQWsw==">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2024-04-30T11:40:00Z</dcterms:created>
</cp:coreProperties>
</file>