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35" w:rsidRDefault="00491835" w:rsidP="00B44D42">
      <w:pPr>
        <w:spacing w:after="142"/>
      </w:pPr>
    </w:p>
    <w:p w:rsidR="00491835" w:rsidRDefault="00B44D42">
      <w:pPr>
        <w:spacing w:after="0"/>
        <w:ind w:left="850" w:hanging="10"/>
      </w:pPr>
      <w:r>
        <w:rPr>
          <w:b/>
          <w:sz w:val="28"/>
        </w:rPr>
        <w:t xml:space="preserve">Six (6) Principles </w:t>
      </w: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Review and Acceptance of Registry Voluntary </w:t>
      </w:r>
    </w:p>
    <w:p w:rsidR="00491835" w:rsidRDefault="00B44D42">
      <w:pPr>
        <w:spacing w:after="98"/>
        <w:ind w:left="148" w:firstLine="1438"/>
        <w:rPr>
          <w:b/>
          <w:sz w:val="28"/>
        </w:rPr>
      </w:pPr>
      <w:r>
        <w:rPr>
          <w:b/>
          <w:sz w:val="28"/>
        </w:rPr>
        <w:t xml:space="preserve">Commitments (RVCs) in Future Rounds of New gTLDs                                         Consistent with ICANN’s Fundamental Bylaws, Core Values and Commitments </w:t>
      </w:r>
    </w:p>
    <w:p w:rsidR="009602C9" w:rsidRDefault="009602C9">
      <w:pPr>
        <w:spacing w:after="98"/>
        <w:ind w:left="148" w:firstLine="1438"/>
        <w:rPr>
          <w:b/>
          <w:sz w:val="28"/>
        </w:rPr>
      </w:pPr>
      <w:r>
        <w:rPr>
          <w:b/>
          <w:sz w:val="28"/>
        </w:rPr>
        <w:t xml:space="preserve">Dr. Milton Muller and Professor Kathryn Kleiman, </w:t>
      </w:r>
      <w:bookmarkStart w:id="0" w:name="_GoBack"/>
      <w:bookmarkEnd w:id="0"/>
      <w:r>
        <w:rPr>
          <w:b/>
          <w:sz w:val="28"/>
        </w:rPr>
        <w:t>NCUC</w:t>
      </w:r>
    </w:p>
    <w:p w:rsidR="00491835" w:rsidRDefault="00491835">
      <w:pPr>
        <w:spacing w:after="177"/>
      </w:pPr>
    </w:p>
    <w:p w:rsidR="00491835" w:rsidRDefault="00B44D42">
      <w:pPr>
        <w:spacing w:line="260" w:lineRule="auto"/>
        <w:ind w:left="-5" w:hanging="10"/>
      </w:pPr>
      <w:r>
        <w:rPr>
          <w:b/>
          <w:sz w:val="24"/>
        </w:rPr>
        <w:t>#1: All RVCs must be submitted for a purpose within the scope and mission of ICANN</w:t>
      </w:r>
      <w:r>
        <w:rPr>
          <w:sz w:val="24"/>
        </w:rPr>
        <w:t xml:space="preserve">.  </w:t>
      </w:r>
    </w:p>
    <w:p w:rsidR="00491835" w:rsidRDefault="00B44D42">
      <w:pPr>
        <w:ind w:left="-5" w:hanging="10"/>
      </w:pPr>
      <w:r>
        <w:rPr>
          <w:sz w:val="24"/>
        </w:rPr>
        <w:t xml:space="preserve">Since ICANN77, the GNSO Council and Board have made some good progress on this principle. Many do not support a change to ICANN’s Bylaws. </w:t>
      </w:r>
    </w:p>
    <w:p w:rsidR="00491835" w:rsidRDefault="00B44D42">
      <w:pPr>
        <w:spacing w:line="260" w:lineRule="auto"/>
        <w:ind w:left="-5" w:hanging="10"/>
      </w:pPr>
      <w:r>
        <w:rPr>
          <w:b/>
          <w:sz w:val="24"/>
        </w:rPr>
        <w:t xml:space="preserve">#2.  All RVCs must be legal under the laws of the jurisdictions of ICANN and the Registry and consistent with ICANN’s Core Values and Fundamental Commitments, (including not discriminatory). </w:t>
      </w:r>
    </w:p>
    <w:p w:rsidR="00491835" w:rsidRDefault="00B44D42">
      <w:pPr>
        <w:spacing w:line="260" w:lineRule="auto"/>
        <w:ind w:left="-5" w:hanging="10"/>
      </w:pPr>
      <w:r>
        <w:rPr>
          <w:b/>
          <w:sz w:val="24"/>
        </w:rPr>
        <w:t xml:space="preserve">#3. All RVCs must show a clear Nexus between proposed RVC(s) and the specific gTLD String applied for.  </w:t>
      </w:r>
    </w:p>
    <w:p w:rsidR="00491835" w:rsidRDefault="00B44D42">
      <w:pPr>
        <w:ind w:left="-5" w:hanging="10"/>
      </w:pPr>
      <w:r>
        <w:rPr>
          <w:sz w:val="24"/>
        </w:rPr>
        <w:t xml:space="preserve">TLD applicants should not make RVCs that are unrelated to the semantics of the specific string the registry holds. Example: A proposed .TAX should not make RVCs about trademark and domain name protection unless the Intellectual Property Rights in question relate directly to taxes and tax preparers, etc. </w:t>
      </w:r>
    </w:p>
    <w:p w:rsidR="00491835" w:rsidRDefault="00B44D42">
      <w:pPr>
        <w:spacing w:line="260" w:lineRule="auto"/>
        <w:ind w:left="-5" w:hanging="10"/>
      </w:pPr>
      <w:r>
        <w:rPr>
          <w:b/>
          <w:sz w:val="24"/>
        </w:rPr>
        <w:t>#4. RVCs must not contradict or overrule the scope or output of a completed GNSO PDP.</w:t>
      </w:r>
      <w:r>
        <w:rPr>
          <w:sz w:val="24"/>
        </w:rPr>
        <w:t xml:space="preserve">  </w:t>
      </w:r>
    </w:p>
    <w:p w:rsidR="00491835" w:rsidRDefault="00B44D42">
      <w:pPr>
        <w:ind w:left="-5" w:hanging="10"/>
      </w:pPr>
      <w:r>
        <w:rPr>
          <w:sz w:val="24"/>
        </w:rPr>
        <w:t xml:space="preserve">For example, if GNSO has discussed or developed a policy regarding the limited disclosure of registrant data in all gTLDs, then an RVC cannot commit ICANN to enforce a policy that would require all registrants to disclose their contact data to anyone making a query in this gTLD.  </w:t>
      </w:r>
    </w:p>
    <w:p w:rsidR="00491835" w:rsidRDefault="00B44D42">
      <w:pPr>
        <w:spacing w:line="260" w:lineRule="auto"/>
        <w:ind w:left="-5" w:hanging="10"/>
      </w:pPr>
      <w:r>
        <w:rPr>
          <w:b/>
          <w:sz w:val="24"/>
        </w:rPr>
        <w:t xml:space="preserve">#5. All RVCs must be enforced by ICANN’s PICDRP (Public Interest Commitments Dispute Resolution Procedure) and not a registry-specified third party dispute provider. </w:t>
      </w:r>
      <w:r>
        <w:rPr>
          <w:sz w:val="24"/>
        </w:rPr>
        <w:t xml:space="preserve"> </w:t>
      </w:r>
    </w:p>
    <w:p w:rsidR="00491835" w:rsidRDefault="00B44D42">
      <w:pPr>
        <w:ind w:left="-5" w:hanging="10"/>
      </w:pPr>
      <w:r>
        <w:rPr>
          <w:sz w:val="24"/>
        </w:rPr>
        <w:t xml:space="preserve">Contractual compliance is ICANN’s primary responsibility, it cannot be outsourced. Compliance resources should be narrowly focused on a small set of general contractual conditions, not dispersed over a gigantic number of bespoke contracts. </w:t>
      </w:r>
    </w:p>
    <w:p w:rsidR="00491835" w:rsidRDefault="00B44D42">
      <w:pPr>
        <w:spacing w:after="195" w:line="260" w:lineRule="auto"/>
        <w:ind w:left="-5" w:hanging="10"/>
      </w:pPr>
      <w:r>
        <w:rPr>
          <w:b/>
          <w:sz w:val="24"/>
        </w:rPr>
        <w:t>#6. A final procedural principle:</w:t>
      </w:r>
      <w:r>
        <w:rPr>
          <w:sz w:val="24"/>
        </w:rPr>
        <w:t xml:space="preserve"> </w:t>
      </w:r>
      <w:r>
        <w:rPr>
          <w:b/>
          <w:sz w:val="24"/>
        </w:rPr>
        <w:t xml:space="preserve">All RVCs should put out for public review, and then be reviewed and approved in three steps: </w:t>
      </w:r>
    </w:p>
    <w:p w:rsidR="00491835" w:rsidRDefault="00B44D42">
      <w:pPr>
        <w:numPr>
          <w:ilvl w:val="0"/>
          <w:numId w:val="1"/>
        </w:numPr>
        <w:spacing w:after="196"/>
        <w:ind w:hanging="360"/>
      </w:pPr>
      <w:r>
        <w:rPr>
          <w:sz w:val="24"/>
        </w:rPr>
        <w:t xml:space="preserve">First, ICANN Legal should review them for legality and consistency with these Principles;  </w:t>
      </w:r>
    </w:p>
    <w:p w:rsidR="00491835" w:rsidRDefault="00B44D42">
      <w:pPr>
        <w:numPr>
          <w:ilvl w:val="0"/>
          <w:numId w:val="1"/>
        </w:numPr>
        <w:spacing w:after="198"/>
        <w:ind w:hanging="360"/>
      </w:pPr>
      <w:r>
        <w:rPr>
          <w:sz w:val="24"/>
        </w:rPr>
        <w:t xml:space="preserve">Second, the GNSO Council should be asked for consensus approval of each RVC; and  </w:t>
      </w:r>
    </w:p>
    <w:p w:rsidR="00491835" w:rsidRDefault="00B44D42">
      <w:pPr>
        <w:numPr>
          <w:ilvl w:val="0"/>
          <w:numId w:val="1"/>
        </w:numPr>
        <w:ind w:hanging="360"/>
      </w:pPr>
      <w:r>
        <w:rPr>
          <w:sz w:val="24"/>
        </w:rPr>
        <w:lastRenderedPageBreak/>
        <w:t xml:space="preserve">Third, RVCs approved in steps a) and b) above must be sent to the Board to assess whether they meet the Five Principles and merit final approval.  </w:t>
      </w:r>
    </w:p>
    <w:sectPr w:rsidR="00491835">
      <w:pgSz w:w="12240" w:h="15840"/>
      <w:pgMar w:top="1440" w:right="151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51A2"/>
    <w:multiLevelType w:val="hybridMultilevel"/>
    <w:tmpl w:val="D1680A9C"/>
    <w:lvl w:ilvl="0" w:tplc="51BABF3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40B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2CE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8EF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4C7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CA8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0F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AFE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254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35"/>
    <w:rsid w:val="0026315B"/>
    <w:rsid w:val="00491835"/>
    <w:rsid w:val="009602C9"/>
    <w:rsid w:val="00B44D42"/>
    <w:rsid w:val="00E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75E20-2C2F-4359-8316-04DC15D6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KK</cp:lastModifiedBy>
  <cp:revision>2</cp:revision>
  <dcterms:created xsi:type="dcterms:W3CDTF">2024-05-20T14:13:00Z</dcterms:created>
  <dcterms:modified xsi:type="dcterms:W3CDTF">2024-05-20T14:13:00Z</dcterms:modified>
</cp:coreProperties>
</file>