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810" w:firstLine="0"/>
        <w:contextualSpacing w:val="0"/>
        <w:rPr>
          <w:sz w:val="32"/>
          <w:szCs w:val="32"/>
        </w:rPr>
      </w:pPr>
      <w:r w:rsidDel="00000000" w:rsidR="00000000" w:rsidRPr="00000000">
        <w:rPr>
          <w:rtl w:val="0"/>
        </w:rPr>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All questions and completed forms should be sent to controller@icann.org.</w:t>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Please remember that the deadline for FY19 Budget consideration is 31 January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10260.0" w:type="dxa"/>
        <w:jc w:val="left"/>
        <w:tblInd w:w="-70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770"/>
        <w:gridCol w:w="2520"/>
        <w:gridCol w:w="2970"/>
        <w:tblGridChange w:id="0">
          <w:tblGrid>
            <w:gridCol w:w="4770"/>
            <w:gridCol w:w="2520"/>
            <w:gridCol w:w="2970"/>
          </w:tblGrid>
        </w:tblGridChange>
      </w:tblGrid>
      <w:tr>
        <w:trPr>
          <w:trHeight w:val="520" w:hRule="atLeast"/>
        </w:trPr>
        <w:tc>
          <w:tcPr>
            <w:gridSpan w:val="3"/>
            <w:tcBorders>
              <w:bottom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INFORMATION</w:t>
            </w:r>
            <w:r w:rsidDel="00000000" w:rsidR="00000000" w:rsidRPr="00000000">
              <w:rPr>
                <w:rtl w:val="0"/>
              </w:rPr>
            </w:r>
          </w:p>
        </w:tc>
      </w:tr>
      <w:tr>
        <w:tc>
          <w:tcPr>
            <w:tcBorders>
              <w:bottom w:color="000000" w:space="0" w:sz="4" w:val="single"/>
              <w:right w:color="000000" w:space="0" w:sz="0" w:val="nil"/>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Title of Proposed Activity</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w:t>
            </w:r>
          </w:p>
        </w:tc>
        <w:tc>
          <w:tcPr>
            <w:tcBorders>
              <w:left w:color="000000" w:space="0" w:sz="0" w:val="nil"/>
              <w:bottom w:color="000000" w:space="0" w:sz="4" w:val="single"/>
              <w:right w:color="000000" w:space="0" w:sz="0" w:val="nil"/>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top w:color="000000" w:space="0" w:sz="4" w:val="single"/>
              <w:bottom w:color="000000" w:space="0" w:sz="0" w:val="nil"/>
              <w:right w:color="000000" w:space="0" w:sz="0" w:val="nil"/>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NCUC Session at the RightsCon</w:t>
            </w:r>
            <w:r w:rsidDel="00000000" w:rsidR="00000000" w:rsidRPr="00000000">
              <w:rPr>
                <w:rtl w:val="0"/>
              </w:rPr>
            </w:r>
          </w:p>
          <w:p w:rsidR="00000000" w:rsidDel="00000000" w:rsidP="00000000" w:rsidRDefault="00000000" w:rsidRPr="00000000">
            <w:pPr>
              <w:contextualSpacing w:val="0"/>
              <w:rPr>
                <w:color w:val="000000"/>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tcBorders>
          </w:tcPr>
          <w:p w:rsidR="00000000" w:rsidDel="00000000" w:rsidP="00000000" w:rsidRDefault="00000000" w:rsidRPr="00000000">
            <w:pPr>
              <w:contextualSpacing w:val="0"/>
              <w:rPr>
                <w:sz w:val="21"/>
                <w:szCs w:val="21"/>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Requestor 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Chair</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NCUC</w:t>
            </w:r>
          </w:p>
        </w:tc>
        <w:tc>
          <w:tcPr>
            <w:gridSpan w:val="2"/>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Renata Aquino Ribeiro</w:t>
            </w:r>
            <w:r w:rsidDel="00000000" w:rsidR="00000000" w:rsidRPr="00000000">
              <w:rPr>
                <w:rtl w:val="0"/>
              </w:rPr>
            </w:r>
          </w:p>
        </w:tc>
      </w:tr>
      <w:tr>
        <w:trPr>
          <w:trHeight w:val="300" w:hRule="atLeast"/>
        </w:trPr>
        <w:tc>
          <w:tcPr>
            <w:tcBorders>
              <w:top w:color="000000" w:space="0" w:sz="0" w:val="nil"/>
              <w:left w:color="000000" w:space="0" w:sz="4" w:val="single"/>
              <w:bottom w:color="000000" w:space="0" w:sz="0" w:val="nil"/>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ICANN Staff Community Liaison</w:t>
            </w:r>
          </w:p>
        </w:tc>
        <w:tc>
          <w:tcPr>
            <w:gridSpan w:val="2"/>
            <w:tcBorders>
              <w:top w:color="000000" w:space="0" w:sz="0" w:val="nil"/>
              <w:left w:color="000000" w:space="0" w:sz="6" w:val="single"/>
              <w:bottom w:color="000000" w:space="0" w:sz="0" w:val="nil"/>
              <w:right w:color="000000" w:space="0" w:sz="4" w:val="single"/>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000000" w:space="0" w:sz="4" w:val="single"/>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Maryam Bakoshi</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2"/>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description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6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Activity: Please describe your proposed activity in detail</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NCUC is accumulating a lot of bright minds and subject-matter experts on quite a variety of issues that are of interest not only for ICANN but also for more broad Internet Governance Community, especially the digital rights one. RightsCon proved to be one of the most important meetings throughout the year where Internet related issues are discussed and policies are shaped by the civil society. </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Within ICANN, NCUC is one of the groups dedicated to the non-commercial users - or the civil society-, being this the community with the most diverse claims and higher level of integration and experiences exchange within the IG community, we believe it to be crucially important for the NCUC voice to be heard and properly represented in the different digital rights related events. We see RightsCon as an opportunity to reach to broader community, explain the specifics of civil society engagement into Internet governance and policy discussions. </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NCUC's participation in RightsCon is also important in terms of keeping on track as to the recent developments and trends in Internet policies and a step further in advocating for the maintenance of the core </w:t>
            </w:r>
            <w:r w:rsidDel="00000000" w:rsidR="00000000" w:rsidRPr="00000000">
              <w:rPr>
                <w:rFonts w:ascii="Arial" w:cs="Arial" w:eastAsia="Arial" w:hAnsi="Arial"/>
                <w:sz w:val="24"/>
                <w:szCs w:val="24"/>
                <w:rtl w:val="0"/>
              </w:rPr>
              <w:t xml:space="preserve">characteristics of the Internet such as a neutral multistakeholder model of participation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Fonts w:ascii="Arial" w:cs="Arial" w:eastAsia="Arial" w:hAnsi="Arial"/>
                <w:sz w:val="24"/>
                <w:szCs w:val="24"/>
                <w:rtl w:val="0"/>
              </w:rPr>
              <w:t xml:space="preserve">Selected NCUC subject experts could make a valuable contribution to already traditional sessions in RightsCon agenda on privacy, freedom of expression, cybersecurity, etc. As ICANN is striving for bigger variety and equal opportunities, we deem it to be truly important to support and promote participation in international meetings of those NCUC members who otherwise would not be able to make it there.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this regard we offer to submit a </w:t>
            </w:r>
            <w:r w:rsidDel="00000000" w:rsidR="00000000" w:rsidRPr="00000000">
              <w:rPr>
                <w:rFonts w:ascii="Arial" w:cs="Arial" w:eastAsia="Arial" w:hAnsi="Arial"/>
                <w:b w:val="1"/>
                <w:sz w:val="24"/>
                <w:szCs w:val="24"/>
                <w:rtl w:val="0"/>
              </w:rPr>
              <w:t xml:space="preserve">session proposal</w:t>
            </w:r>
            <w:r w:rsidDel="00000000" w:rsidR="00000000" w:rsidRPr="00000000">
              <w:rPr>
                <w:rFonts w:ascii="Arial" w:cs="Arial" w:eastAsia="Arial" w:hAnsi="Arial"/>
                <w:sz w:val="24"/>
                <w:szCs w:val="24"/>
                <w:rtl w:val="0"/>
              </w:rPr>
              <w:t xml:space="preserve"> for RightsCon 2019 that would correlate with one of the ICANN’s ongoing PDPs. The sesion proposal will be drafted and submitted by respective NCUC subject matter experts. The call for proposals is normally issued in November, with the agenda being constructed by the end of January/beginning of February. </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jc w:val="both"/>
              <w:rPr>
                <w:color w:val="ff0000"/>
                <w:sz w:val="24"/>
                <w:szCs w:val="24"/>
              </w:rPr>
            </w:pPr>
            <w:r w:rsidDel="00000000" w:rsidR="00000000" w:rsidRPr="00000000">
              <w:rPr>
                <w:rFonts w:ascii="Arial" w:cs="Arial" w:eastAsia="Arial" w:hAnsi="Arial"/>
                <w:sz w:val="24"/>
                <w:szCs w:val="24"/>
                <w:rtl w:val="0"/>
              </w:rPr>
              <w:t xml:space="preserve">NCUC will also conduct on-site </w:t>
            </w:r>
            <w:r w:rsidDel="00000000" w:rsidR="00000000" w:rsidRPr="00000000">
              <w:rPr>
                <w:rFonts w:ascii="Arial" w:cs="Arial" w:eastAsia="Arial" w:hAnsi="Arial"/>
                <w:b w:val="1"/>
                <w:sz w:val="24"/>
                <w:szCs w:val="24"/>
                <w:rtl w:val="0"/>
              </w:rPr>
              <w:t xml:space="preserve">outreach</w:t>
            </w:r>
            <w:r w:rsidDel="00000000" w:rsidR="00000000" w:rsidRPr="00000000">
              <w:rPr>
                <w:rFonts w:ascii="Arial" w:cs="Arial" w:eastAsia="Arial" w:hAnsi="Arial"/>
                <w:sz w:val="24"/>
                <w:szCs w:val="24"/>
                <w:rtl w:val="0"/>
              </w:rPr>
              <w:t xml:space="preserve"> to other community members,through informal networking and </w:t>
            </w:r>
            <w:r w:rsidDel="00000000" w:rsidR="00000000" w:rsidRPr="00000000">
              <w:rPr>
                <w:rFonts w:ascii="Arial" w:cs="Arial" w:eastAsia="Arial" w:hAnsi="Arial"/>
                <w:b w:val="1"/>
                <w:sz w:val="24"/>
                <w:szCs w:val="24"/>
                <w:rtl w:val="0"/>
              </w:rPr>
              <w:t xml:space="preserve">dissemination of information materials</w:t>
            </w:r>
            <w:r w:rsidDel="00000000" w:rsidR="00000000" w:rsidRPr="00000000">
              <w:rPr>
                <w:rFonts w:ascii="Arial" w:cs="Arial" w:eastAsia="Arial" w:hAnsi="Arial"/>
                <w:sz w:val="24"/>
                <w:szCs w:val="24"/>
                <w:rtl w:val="0"/>
              </w:rPr>
              <w:t xml:space="preserve">, as well as explanation of getting involved with NCUC on a regular basis, thus contributing to development of ICANN multistakeholder model and policy discussions.</w:t>
            </w: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NCUC representatives at the meeting will also compromise with the creation of  materials after attending such meetings that can be invaluable to our ICANN work, that will bring in new perspectives, and could assist NCUC at a very high level and also published at NCUC website.</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Fonts w:ascii="Arial" w:cs="Arial" w:eastAsia="Arial" w:hAnsi="Arial"/>
                <w:sz w:val="24"/>
                <w:szCs w:val="24"/>
                <w:rtl w:val="0"/>
              </w:rPr>
              <w:t xml:space="preserve">Though some of the travel funding is covered by the CROPP program, this particular request is different from outreach activities and CROPP cannot be allocated to it. CROPP is for regional engagement and mainly outreach. The restriction of CROPP program does not allow its use for  the specific purposes outlined above.</w:t>
            </w: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Type of Activity: e.g. Outreach - Education/training - Travel support - Research/Study -  Meetings - Other</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1"/>
                <w:szCs w:val="21"/>
              </w:rPr>
            </w:pPr>
            <w:r w:rsidDel="00000000" w:rsidR="00000000" w:rsidRPr="00000000">
              <w:rPr>
                <w:rFonts w:ascii="Arial" w:cs="Arial" w:eastAsia="Arial" w:hAnsi="Arial"/>
                <w:color w:val="000000"/>
                <w:sz w:val="24"/>
                <w:szCs w:val="24"/>
                <w:rtl w:val="0"/>
              </w:rPr>
              <w:t xml:space="preserve">Travel Support for </w:t>
            </w:r>
            <w:r w:rsidDel="00000000" w:rsidR="00000000" w:rsidRPr="00000000">
              <w:rPr>
                <w:rFonts w:ascii="Arial" w:cs="Arial" w:eastAsia="Arial" w:hAnsi="Arial"/>
                <w:sz w:val="24"/>
                <w:szCs w:val="24"/>
                <w:rtl w:val="0"/>
              </w:rPr>
              <w:t xml:space="preserve">three</w:t>
            </w:r>
            <w:r w:rsidDel="00000000" w:rsidR="00000000" w:rsidRPr="00000000">
              <w:rPr>
                <w:rFonts w:ascii="Arial" w:cs="Arial" w:eastAsia="Arial" w:hAnsi="Arial"/>
                <w:sz w:val="24"/>
                <w:szCs w:val="24"/>
                <w:rtl w:val="0"/>
              </w:rPr>
              <w:t xml:space="preserve"> NCUC members, with subject matter experts that will submit session proposal for RightsCon 2019.  </w:t>
            </w: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Proposed Timeline/Schedule: e.g. one time activity, recurring activity </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One time activity to be held in May. </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3"/>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objectives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Strategic Alignment. Which area of ICANN’s Strategic Plan does this request support?</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Aligned with ICANN’s mission:  3. Coordinating the community’s policy development reasonably and appropriately related to these technical functions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Promote ICANN’s role and multistakeholder approach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4.1 Encourage engagement with the existing Internet governance</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ecosystem at national, regional and international levels.</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Demographics. What audience(s), in which geographies, does your request target?</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All ICANN regions, especially the North American community</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Deliverables. What are the desired outcomes of your proposed activity?</w:t>
            </w:r>
          </w:p>
        </w:tc>
      </w:tr>
      <w:t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60" w:before="60" w:lineRule="auto"/>
              <w:contextualSpacing w:val="0"/>
              <w:rPr>
                <w:sz w:val="24"/>
                <w:szCs w:val="24"/>
              </w:rPr>
            </w:pPr>
            <w:r w:rsidDel="00000000" w:rsidR="00000000" w:rsidRPr="00000000">
              <w:rPr>
                <w:rFonts w:ascii="Arial" w:cs="Arial" w:eastAsia="Arial" w:hAnsi="Arial"/>
                <w:color w:val="000000"/>
                <w:sz w:val="24"/>
                <w:szCs w:val="24"/>
                <w:rtl w:val="0"/>
              </w:rPr>
              <w:t xml:space="preserve">Production of materials by NCUC members on cutting edge issues related to the inter</w:t>
            </w:r>
            <w:r w:rsidDel="00000000" w:rsidR="00000000" w:rsidRPr="00000000">
              <w:rPr>
                <w:rFonts w:ascii="Arial" w:cs="Arial" w:eastAsia="Arial" w:hAnsi="Arial"/>
                <w:sz w:val="24"/>
                <w:szCs w:val="24"/>
                <w:rtl w:val="0"/>
              </w:rPr>
              <w:t xml:space="preserve">section between </w:t>
            </w:r>
            <w:r w:rsidDel="00000000" w:rsidR="00000000" w:rsidRPr="00000000">
              <w:rPr>
                <w:rFonts w:ascii="Arial" w:cs="Arial" w:eastAsia="Arial" w:hAnsi="Arial"/>
                <w:color w:val="000000"/>
                <w:sz w:val="24"/>
                <w:szCs w:val="24"/>
                <w:rtl w:val="0"/>
              </w:rPr>
              <w:t xml:space="preserve">DNS </w:t>
            </w:r>
            <w:r w:rsidDel="00000000" w:rsidR="00000000" w:rsidRPr="00000000">
              <w:rPr>
                <w:rFonts w:ascii="Arial" w:cs="Arial" w:eastAsia="Arial" w:hAnsi="Arial"/>
                <w:sz w:val="24"/>
                <w:szCs w:val="24"/>
                <w:rtl w:val="0"/>
              </w:rPr>
              <w:t xml:space="preserve">and the digital rights community.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Making connection and raising awareness about ICANN issues at these meetings and the importa</w:t>
            </w:r>
            <w:r w:rsidDel="00000000" w:rsidR="00000000" w:rsidRPr="00000000">
              <w:rPr>
                <w:rFonts w:ascii="Arial" w:cs="Arial" w:eastAsia="Arial" w:hAnsi="Arial"/>
                <w:sz w:val="24"/>
                <w:szCs w:val="24"/>
                <w:rtl w:val="0"/>
              </w:rPr>
              <w:t xml:space="preserve">nce of ICANN to Internet's core.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Metrics. What measurements will you use to determine whether your activity achieves its desired outcomes?</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Materials produced; new members recruited</w:t>
            </w:r>
            <w:r w:rsidDel="00000000" w:rsidR="00000000" w:rsidRPr="00000000">
              <w:rPr>
                <w:rFonts w:ascii="Arial" w:cs="Arial" w:eastAsia="Arial" w:hAnsi="Arial"/>
                <w:sz w:val="24"/>
                <w:szCs w:val="24"/>
                <w:rtl w:val="0"/>
              </w:rPr>
              <w:t xml:space="preserve">; more engagement with ICANN and its PDPs. </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5"/>
        <w:tblW w:w="10260.0" w:type="dxa"/>
        <w:jc w:val="left"/>
        <w:tblInd w:w="-702.0" w:type="dxa"/>
        <w:tblBorders>
          <w:top w:color="000000" w:space="0" w:sz="6" w:val="single"/>
          <w:left w:color="000000" w:space="0" w:sz="6" w:val="single"/>
          <w:bottom w:color="000000" w:space="0" w:sz="6" w:val="single"/>
          <w:right w:color="000000" w:space="0" w:sz="6" w:val="single"/>
        </w:tblBorders>
        <w:tblLayout w:type="fixed"/>
        <w:tblLook w:val="0000"/>
      </w:tblPr>
      <w:tblGrid>
        <w:gridCol w:w="10260"/>
        <w:tblGridChange w:id="0">
          <w:tblGrid>
            <w:gridCol w:w="10260"/>
          </w:tblGrid>
        </w:tblGridChange>
      </w:tblGrid>
      <w:tr>
        <w:trPr>
          <w:trHeight w:val="600" w:hRule="atLeast"/>
        </w:trPr>
        <w:tc>
          <w:tcPr>
            <w:tcBorders>
              <w:top w:color="000000" w:space="0" w:sz="6" w:val="single"/>
              <w:bottom w:color="000000" w:space="0" w:sz="0" w:val="nil"/>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Resource Planning – incremental to accommodate  this request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Staff Support Needed (not including subject matter expertise):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trHeight w:val="1080" w:hRule="atLeast"/>
        </w:trPr>
        <w:tc>
          <w:tcPr>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0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9"/>
              <w:gridCol w:w="2010"/>
              <w:gridCol w:w="2009"/>
              <w:gridCol w:w="2010"/>
              <w:gridCol w:w="2010"/>
              <w:tblGridChange w:id="0">
                <w:tblGrid>
                  <w:gridCol w:w="2009"/>
                  <w:gridCol w:w="2010"/>
                  <w:gridCol w:w="2009"/>
                  <w:gridCol w:w="2010"/>
                  <w:gridCol w:w="2010"/>
                </w:tblGrid>
              </w:tblGridChange>
            </w:tblGrid>
            <w:tr>
              <w:trPr>
                <w:trHeight w:val="240" w:hRule="atLeast"/>
              </w:trPr>
              <w:tc>
                <w:tcPr>
                  <w:tcBorders>
                    <w:top w:color="000000" w:space="0" w:sz="0" w:val="nil"/>
                    <w:left w:color="000000" w:space="0" w:sz="12"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Description</w:t>
                  </w:r>
                </w:p>
              </w:tc>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Timeline</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Assumptions</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Costs basis or parameters</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Comments</w:t>
                  </w:r>
                </w:p>
              </w:tc>
            </w:tr>
            <w:tr>
              <w:trPr>
                <w:trHeight w:val="240"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Subject Matter Expert Support:</w:t>
            </w:r>
            <w:r w:rsidDel="00000000" w:rsidR="00000000" w:rsidRPr="00000000">
              <w:rPr>
                <w:rtl w:val="0"/>
              </w:rPr>
            </w:r>
          </w:p>
        </w:tc>
      </w:tr>
      <w:tr>
        <w:trPr>
          <w:trHeight w:val="1260" w:hRule="atLeast"/>
        </w:trPr>
        <w:tc>
          <w:tcPr>
            <w:tcBorders>
              <w:left w:color="000000" w:space="0" w:sz="6" w:val="single"/>
              <w:bottom w:color="000000" w:space="0" w:sz="4"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Technology Support: (telephone, Adobe Connect, web streaming, etc.)</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Language Services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w:t>
            </w:r>
            <w:r w:rsidDel="00000000" w:rsidR="00000000" w:rsidRPr="00000000">
              <w:rPr>
                <w:rtl w:val="0"/>
              </w:rPr>
            </w:r>
          </w:p>
        </w:tc>
      </w:tr>
      <w:tr>
        <w:trPr>
          <w:trHeight w:val="128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spacing w:before="20" w:lineRule="auto"/>
              <w:contextualSpacing w:val="0"/>
              <w:rPr>
                <w:sz w:val="24"/>
                <w:szCs w:val="24"/>
              </w:rPr>
            </w:pPr>
            <w:r w:rsidDel="00000000" w:rsidR="00000000" w:rsidRPr="00000000">
              <w:rPr>
                <w:rFonts w:ascii="Arial" w:cs="Arial" w:eastAsia="Arial" w:hAnsi="Arial"/>
                <w:color w:val="000000"/>
                <w:sz w:val="24"/>
                <w:szCs w:val="24"/>
                <w:rtl w:val="0"/>
              </w:rPr>
              <w:t xml:space="preserve">Yes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Potential/planned Sponsorship Contribution:</w:t>
            </w:r>
            <w:r w:rsidDel="00000000" w:rsidR="00000000" w:rsidRPr="00000000">
              <w:rPr>
                <w:rtl w:val="0"/>
              </w:rPr>
            </w:r>
          </w:p>
        </w:tc>
      </w:tr>
      <w:tr>
        <w:trPr>
          <w:trHeight w:val="74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sectPr>
      <w:headerReference r:id="rId6" w:type="default"/>
      <w:footerReference r:id="rId7" w:type="default"/>
      <w:pgSz w:h="15840" w:w="12240"/>
      <w:pgMar w:bottom="990" w:top="16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450"/>
      </w:tabs>
      <w:spacing w:after="0" w:before="0" w:line="240" w:lineRule="auto"/>
      <w:ind w:left="-810" w:right="-45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
              <a:graphic>
                <a:graphicData uri="http://schemas.microsoft.com/office/word/2010/wordprocessingShape">
                  <wps:wsp>
                    <wps:cNvCnPr/>
                    <wps:spPr>
                      <a:xfrm>
                        <a:off x="2077020" y="3780000"/>
                        <a:ext cx="653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3796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1"/>
        <w:szCs w:val="21"/>
      </w:rPr>
    </w:pPr>
    <w:r w:rsidDel="00000000" w:rsidR="00000000" w:rsidRPr="00000000">
      <w:rPr>
        <w:rtl w:val="0"/>
      </w:rPr>
    </w:r>
  </w:p>
  <w:tbl>
    <w:tblPr>
      <w:tblStyle w:val="Table6"/>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1"/>
      <w:gridCol w:w="7389"/>
      <w:tblGridChange w:id="0">
        <w:tblGrid>
          <w:gridCol w:w="2871"/>
          <w:gridCol w:w="7389"/>
        </w:tblGrid>
      </w:tblGridChange>
    </w:tblGrid>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Pr>
            <w:drawing>
              <wp:inline distB="0" distT="0" distL="0" distR="0">
                <wp:extent cx="717550" cy="5778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7550" cy="5778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08080"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FY1</w:t>
          </w:r>
          <w:r w:rsidDel="00000000" w:rsidR="00000000" w:rsidRPr="00000000">
            <w:rPr>
              <w:rFonts w:ascii="Arial" w:cs="Arial" w:eastAsia="Arial" w:hAnsi="Arial"/>
              <w:b w:val="1"/>
              <w:color w:val="ffffff"/>
              <w:sz w:val="32"/>
              <w:szCs w:val="32"/>
              <w:rtl w:val="0"/>
            </w:rPr>
            <w:t xml:space="preserve">9</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COMMUNITY REQUEST FORM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firstLine="0"/>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ffffff"/>
      <w:sz w:val="32"/>
      <w:szCs w:val="32"/>
      <w:highlight w:val="darkGray"/>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