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810" w:firstLine="0"/>
        <w:contextualSpacing w:val="0"/>
        <w:rPr>
          <w:sz w:val="32"/>
          <w:szCs w:val="32"/>
        </w:rPr>
      </w:pPr>
      <w:r w:rsidDel="00000000" w:rsidR="00000000" w:rsidRPr="00000000">
        <w:rPr>
          <w:rtl w:val="0"/>
        </w:rPr>
      </w:r>
    </w:p>
    <w:p w:rsidR="00000000" w:rsidDel="00000000" w:rsidP="00000000" w:rsidRDefault="00000000" w:rsidRPr="00000000">
      <w:pPr>
        <w:ind w:left="-810" w:firstLine="0"/>
        <w:contextualSpacing w:val="0"/>
        <w:rPr>
          <w:sz w:val="32"/>
          <w:szCs w:val="32"/>
        </w:rPr>
      </w:pPr>
      <w:r w:rsidDel="00000000" w:rsidR="00000000" w:rsidRPr="00000000">
        <w:rPr>
          <w:sz w:val="32"/>
          <w:szCs w:val="32"/>
          <w:rtl w:val="0"/>
        </w:rPr>
        <w:t xml:space="preserve">All questions and completed forms should be sent to controller@icann.org.</w:t>
      </w:r>
    </w:p>
    <w:p w:rsidR="00000000" w:rsidDel="00000000" w:rsidP="00000000" w:rsidRDefault="00000000" w:rsidRPr="00000000">
      <w:pPr>
        <w:ind w:left="-810" w:firstLine="0"/>
        <w:contextualSpacing w:val="0"/>
        <w:rPr>
          <w:sz w:val="32"/>
          <w:szCs w:val="32"/>
        </w:rPr>
      </w:pPr>
      <w:r w:rsidDel="00000000" w:rsidR="00000000" w:rsidRPr="00000000">
        <w:rPr>
          <w:sz w:val="32"/>
          <w:szCs w:val="32"/>
          <w:rtl w:val="0"/>
        </w:rPr>
        <w:t xml:space="preserve">Please remember that the deadline for FY19 Budget consideration is 31 January 2018.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bl>
      <w:tblPr>
        <w:tblStyle w:val="Table1"/>
        <w:tblW w:w="10260.0" w:type="dxa"/>
        <w:jc w:val="left"/>
        <w:tblInd w:w="-70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770"/>
        <w:gridCol w:w="2520"/>
        <w:gridCol w:w="2970"/>
        <w:tblGridChange w:id="0">
          <w:tblGrid>
            <w:gridCol w:w="4770"/>
            <w:gridCol w:w="2520"/>
            <w:gridCol w:w="2970"/>
          </w:tblGrid>
        </w:tblGridChange>
      </w:tblGrid>
      <w:tr>
        <w:trPr>
          <w:trHeight w:val="520" w:hRule="atLeast"/>
        </w:trPr>
        <w:tc>
          <w:tcPr>
            <w:gridSpan w:val="3"/>
            <w:tcBorders>
              <w:bottom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INFORMATION</w:t>
            </w:r>
            <w:r w:rsidDel="00000000" w:rsidR="00000000" w:rsidRPr="00000000">
              <w:rPr>
                <w:rtl w:val="0"/>
              </w:rPr>
            </w:r>
          </w:p>
        </w:tc>
      </w:tr>
      <w:tr>
        <w:tc>
          <w:tcPr>
            <w:tcBorders>
              <w:bottom w:color="000000" w:space="0" w:sz="4" w:val="single"/>
              <w:right w:color="000000" w:space="0" w:sz="0" w:val="nil"/>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Title of Proposed Activity</w:t>
            </w: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  </w:t>
            </w:r>
          </w:p>
        </w:tc>
        <w:tc>
          <w:tcPr>
            <w:tcBorders>
              <w:left w:color="000000" w:space="0" w:sz="0" w:val="nil"/>
              <w:bottom w:color="000000" w:space="0" w:sz="4" w:val="single"/>
              <w:right w:color="000000" w:space="0" w:sz="0" w:val="nil"/>
            </w:tcBorders>
            <w:shd w:fill="c0c0c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bottom w:color="000000" w:space="0" w:sz="4"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tl w:val="0"/>
              </w:rPr>
            </w:r>
          </w:p>
        </w:tc>
      </w:tr>
      <w:tr>
        <w:trPr>
          <w:trHeight w:val="340" w:hRule="atLeast"/>
        </w:trPr>
        <w:tc>
          <w:tcPr>
            <w:tcBorders>
              <w:top w:color="000000" w:space="0" w:sz="4" w:val="single"/>
              <w:bottom w:color="000000" w:space="0" w:sz="0" w:val="nil"/>
              <w:right w:color="000000" w:space="0" w:sz="0" w:val="nil"/>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Travel support for </w:t>
            </w:r>
            <w:r w:rsidDel="00000000" w:rsidR="00000000" w:rsidRPr="00000000">
              <w:rPr>
                <w:rFonts w:ascii="Arial" w:cs="Arial" w:eastAsia="Arial" w:hAnsi="Arial"/>
                <w:sz w:val="24"/>
                <w:szCs w:val="24"/>
                <w:rtl w:val="0"/>
              </w:rPr>
              <w:t xml:space="preserve">GDD</w:t>
            </w:r>
            <w:r w:rsidDel="00000000" w:rsidR="00000000" w:rsidRPr="00000000">
              <w:rPr>
                <w:rtl w:val="0"/>
              </w:rPr>
            </w:r>
          </w:p>
          <w:p w:rsidR="00000000" w:rsidDel="00000000" w:rsidP="00000000" w:rsidRDefault="00000000" w:rsidRPr="00000000">
            <w:pPr>
              <w:contextualSpacing w:val="0"/>
              <w:rPr>
                <w:color w:val="000000"/>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tcBorders>
          </w:tcPr>
          <w:p w:rsidR="00000000" w:rsidDel="00000000" w:rsidP="00000000" w:rsidRDefault="00000000" w:rsidRPr="00000000">
            <w:pPr>
              <w:contextualSpacing w:val="0"/>
              <w:rPr>
                <w:sz w:val="21"/>
                <w:szCs w:val="21"/>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Community Requestor Name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highlight w:val="lightGray"/>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Chair</w:t>
            </w: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NCUC</w:t>
            </w:r>
          </w:p>
        </w:tc>
        <w:tc>
          <w:tcPr>
            <w:gridSpan w:val="2"/>
            <w:tcBorders>
              <w:top w:color="000000" w:space="0" w:sz="0" w:val="nil"/>
              <w:left w:color="000000" w:space="0" w:sz="6"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Renata Aquino Ribeiro</w:t>
            </w:r>
            <w:r w:rsidDel="00000000" w:rsidR="00000000" w:rsidRPr="00000000">
              <w:rPr>
                <w:rtl w:val="0"/>
              </w:rPr>
            </w:r>
          </w:p>
        </w:tc>
      </w:tr>
      <w:tr>
        <w:trPr>
          <w:trHeight w:val="300" w:hRule="atLeast"/>
        </w:trPr>
        <w:tc>
          <w:tcPr>
            <w:tcBorders>
              <w:top w:color="000000" w:space="0" w:sz="0" w:val="nil"/>
              <w:left w:color="000000" w:space="0" w:sz="4" w:val="single"/>
              <w:bottom w:color="000000" w:space="0" w:sz="0" w:val="nil"/>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ICANN Staff Community Liaison</w:t>
            </w:r>
          </w:p>
        </w:tc>
        <w:tc>
          <w:tcPr>
            <w:gridSpan w:val="2"/>
            <w:tcBorders>
              <w:top w:color="000000" w:space="0" w:sz="0" w:val="nil"/>
              <w:left w:color="000000" w:space="0" w:sz="6" w:val="single"/>
              <w:bottom w:color="000000" w:space="0" w:sz="0" w:val="nil"/>
              <w:right w:color="000000" w:space="0" w:sz="4" w:val="single"/>
            </w:tcBorders>
            <w:shd w:fill="c0c0c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00" w:hRule="atLeast"/>
        </w:trPr>
        <w:tc>
          <w:tcPr>
            <w:tcBorders>
              <w:top w:color="000000" w:space="0" w:sz="4" w:val="single"/>
              <w:bottom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Maryam Bakoshi</w:t>
            </w: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pPr>
              <w:contextualSpacing w:val="0"/>
              <w:rPr>
                <w:sz w:val="21"/>
                <w:szCs w:val="21"/>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2"/>
        <w:tblW w:w="10260.0" w:type="dxa"/>
        <w:jc w:val="left"/>
        <w:tblInd w:w="-702.0" w:type="dxa"/>
        <w:tblLayout w:type="fixed"/>
        <w:tblLook w:val="0000"/>
      </w:tblPr>
      <w:tblGrid>
        <w:gridCol w:w="10260"/>
        <w:tblGridChange w:id="0">
          <w:tblGrid>
            <w:gridCol w:w="10260"/>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description</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 </w:t>
            </w:r>
            <w:r w:rsidDel="00000000" w:rsidR="00000000" w:rsidRPr="00000000">
              <w:rPr>
                <w:rtl w:val="0"/>
              </w:rPr>
            </w:r>
          </w:p>
        </w:tc>
      </w:tr>
      <w:tr>
        <w:trPr>
          <w:trHeight w:val="46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Activity: Please describe your proposed activity in detail</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Subject-matter experts in NCUC should be able to travel to conferences that discuss important current issues of relevance to the DNS and the I</w:t>
            </w:r>
            <w:r w:rsidDel="00000000" w:rsidR="00000000" w:rsidRPr="00000000">
              <w:rPr>
                <w:rFonts w:ascii="Arial" w:cs="Arial" w:eastAsia="Arial" w:hAnsi="Arial"/>
                <w:sz w:val="24"/>
                <w:szCs w:val="24"/>
                <w:rtl w:val="0"/>
              </w:rPr>
              <w:t xml:space="preserve">nternet ecosystem as a whole. Recalling that :</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NCUC is the home for civil society organizations and individuals in the ICANN bottom-up policy making organ (i.e the GNSO) and;</w:t>
            </w:r>
          </w:p>
          <w:p w:rsidR="00000000" w:rsidDel="00000000" w:rsidP="00000000" w:rsidRDefault="00000000" w:rsidRPr="00000000">
            <w:pPr>
              <w:numPr>
                <w:ilvl w:val="0"/>
                <w:numId w:val="1"/>
              </w:numPr>
              <w:ind w:left="720" w:hanging="360"/>
              <w:contextualSpacing w:val="1"/>
              <w:rPr>
                <w:rFonts w:ascii="Arial" w:cs="Arial" w:eastAsia="Arial" w:hAnsi="Arial"/>
                <w:u w:val="none"/>
              </w:rPr>
            </w:pPr>
            <w:r w:rsidDel="00000000" w:rsidR="00000000" w:rsidRPr="00000000">
              <w:rPr>
                <w:rFonts w:ascii="Arial" w:cs="Arial" w:eastAsia="Arial" w:hAnsi="Arial"/>
                <w:sz w:val="24"/>
                <w:szCs w:val="24"/>
                <w:rtl w:val="0"/>
              </w:rPr>
              <w:t xml:space="preserve">the GDD i</w:t>
            </w:r>
            <w:r w:rsidDel="00000000" w:rsidR="00000000" w:rsidRPr="00000000">
              <w:rPr>
                <w:rFonts w:ascii="Arial" w:cs="Arial" w:eastAsia="Arial" w:hAnsi="Arial"/>
                <w:color w:val="222222"/>
                <w:sz w:val="24"/>
                <w:szCs w:val="24"/>
                <w:highlight w:val="white"/>
                <w:rtl w:val="0"/>
              </w:rPr>
              <w:t xml:space="preserve">s a division of ICANN which oversees generic domain operations, domain name industry engagement and Web services, with the goal of having all of these pieces coming together under one umbrella in order to improve efficiencies and to serve both registries and applicants better;</w:t>
            </w:r>
          </w:p>
          <w:p w:rsidR="00000000" w:rsidDel="00000000" w:rsidP="00000000" w:rsidRDefault="00000000" w:rsidRPr="00000000">
            <w:pPr>
              <w:contextualSpacing w:val="0"/>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It is indeed important for our constituency to keep abreast about all ongoing discussions within the domain name industry group and how their actions align with community users and non-commercial applicants rights: data protection, user privacy, compliance, etc.</w:t>
            </w:r>
          </w:p>
          <w:p w:rsidR="00000000" w:rsidDel="00000000" w:rsidP="00000000" w:rsidRDefault="00000000" w:rsidRPr="00000000">
            <w:pPr>
              <w:contextualSpacing w:val="0"/>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Participating to this event has four main objectives:</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inform</w:t>
            </w:r>
            <w:r w:rsidDel="00000000" w:rsidR="00000000" w:rsidRPr="00000000">
              <w:rPr>
                <w:rFonts w:ascii="Arial" w:cs="Arial" w:eastAsia="Arial" w:hAnsi="Arial"/>
                <w:color w:val="000000"/>
                <w:sz w:val="24"/>
                <w:szCs w:val="24"/>
                <w:rtl w:val="0"/>
              </w:rPr>
              <w:t xml:space="preserve"> NCUC experts </w:t>
            </w:r>
            <w:r w:rsidDel="00000000" w:rsidR="00000000" w:rsidRPr="00000000">
              <w:rPr>
                <w:rFonts w:ascii="Arial" w:cs="Arial" w:eastAsia="Arial" w:hAnsi="Arial"/>
                <w:sz w:val="24"/>
                <w:szCs w:val="24"/>
                <w:rtl w:val="0"/>
              </w:rPr>
              <w:t xml:space="preserve">about ICANN’s GDD : processes, online portal, summit and events</w:t>
            </w:r>
          </w:p>
          <w:p w:rsidR="00000000" w:rsidDel="00000000" w:rsidP="00000000" w:rsidRDefault="00000000" w:rsidRPr="00000000">
            <w:pPr>
              <w:numPr>
                <w:ilvl w:val="0"/>
                <w:numId w:val="3"/>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color w:val="000000"/>
                <w:sz w:val="24"/>
                <w:szCs w:val="24"/>
                <w:rtl w:val="0"/>
              </w:rPr>
              <w:t xml:space="preserve">NCUC ex</w:t>
            </w:r>
            <w:r w:rsidDel="00000000" w:rsidR="00000000" w:rsidRPr="00000000">
              <w:rPr>
                <w:rFonts w:ascii="Arial" w:cs="Arial" w:eastAsia="Arial" w:hAnsi="Arial"/>
                <w:sz w:val="24"/>
                <w:szCs w:val="24"/>
                <w:rtl w:val="0"/>
              </w:rPr>
              <w:t xml:space="preserve">perts identify key elements of the DNS that significantly impact applicants of the domain name industry and propose way forward to address them (online discussions, ad hoc working groups, policies, procedures, etc.)</w:t>
            </w:r>
          </w:p>
          <w:p w:rsidR="00000000" w:rsidDel="00000000" w:rsidP="00000000" w:rsidRDefault="00000000" w:rsidRPr="00000000">
            <w:pPr>
              <w:numPr>
                <w:ilvl w:val="0"/>
                <w:numId w:val="3"/>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discuss about the new gTLDs and share mutual perspectives towards a common goal that can benefit the applicants and the global community</w:t>
            </w:r>
          </w:p>
          <w:p w:rsidR="00000000" w:rsidDel="00000000" w:rsidP="00000000" w:rsidRDefault="00000000" w:rsidRPr="00000000">
            <w:pPr>
              <w:numPr>
                <w:ilvl w:val="0"/>
                <w:numId w:val="3"/>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color w:val="000000"/>
                <w:sz w:val="24"/>
                <w:szCs w:val="24"/>
                <w:rtl w:val="0"/>
              </w:rPr>
              <w:t xml:space="preserve">recruit experts to join NCUC and participate in ICANN policy development</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After attending such a summit, t</w:t>
            </w:r>
            <w:r w:rsidDel="00000000" w:rsidR="00000000" w:rsidRPr="00000000">
              <w:rPr>
                <w:rFonts w:ascii="Arial" w:cs="Arial" w:eastAsia="Arial" w:hAnsi="Arial"/>
                <w:color w:val="000000"/>
                <w:sz w:val="24"/>
                <w:szCs w:val="24"/>
                <w:rtl w:val="0"/>
              </w:rPr>
              <w:t xml:space="preserve">he NCUC subject matter experts will create materials that can be invaluable to our work within ICANN, bring in new perspectives, and c</w:t>
            </w:r>
            <w:r w:rsidDel="00000000" w:rsidR="00000000" w:rsidRPr="00000000">
              <w:rPr>
                <w:rFonts w:ascii="Arial" w:cs="Arial" w:eastAsia="Arial" w:hAnsi="Arial"/>
                <w:sz w:val="24"/>
                <w:szCs w:val="24"/>
                <w:rtl w:val="0"/>
              </w:rPr>
              <w:t xml:space="preserve">an</w:t>
            </w:r>
            <w:r w:rsidDel="00000000" w:rsidR="00000000" w:rsidRPr="00000000">
              <w:rPr>
                <w:rFonts w:ascii="Arial" w:cs="Arial" w:eastAsia="Arial" w:hAnsi="Arial"/>
                <w:color w:val="000000"/>
                <w:sz w:val="24"/>
                <w:szCs w:val="24"/>
                <w:rtl w:val="0"/>
              </w:rPr>
              <w:t xml:space="preserve"> assist</w:t>
            </w:r>
            <w:r w:rsidDel="00000000" w:rsidR="00000000" w:rsidRPr="00000000">
              <w:rPr>
                <w:rFonts w:ascii="Arial" w:cs="Arial" w:eastAsia="Arial" w:hAnsi="Arial"/>
                <w:sz w:val="24"/>
                <w:szCs w:val="24"/>
                <w:rtl w:val="0"/>
              </w:rPr>
              <w:t xml:space="preserve"> our constituency </w:t>
            </w:r>
            <w:r w:rsidDel="00000000" w:rsidR="00000000" w:rsidRPr="00000000">
              <w:rPr>
                <w:rFonts w:ascii="Arial" w:cs="Arial" w:eastAsia="Arial" w:hAnsi="Arial"/>
                <w:color w:val="000000"/>
                <w:sz w:val="24"/>
                <w:szCs w:val="24"/>
                <w:rtl w:val="0"/>
              </w:rPr>
              <w:t xml:space="preserve">at a very high level. </w:t>
            </w:r>
            <w:r w:rsidDel="00000000" w:rsidR="00000000" w:rsidRPr="00000000">
              <w:rPr>
                <w:rFonts w:ascii="Arial" w:cs="Arial" w:eastAsia="Arial" w:hAnsi="Arial"/>
                <w:sz w:val="24"/>
                <w:szCs w:val="24"/>
                <w:rtl w:val="0"/>
              </w:rPr>
              <w:t xml:space="preserve">They</w:t>
            </w:r>
            <w:r w:rsidDel="00000000" w:rsidR="00000000" w:rsidRPr="00000000">
              <w:rPr>
                <w:rFonts w:ascii="Arial" w:cs="Arial" w:eastAsia="Arial" w:hAnsi="Arial"/>
                <w:color w:val="000000"/>
                <w:sz w:val="24"/>
                <w:szCs w:val="24"/>
                <w:rtl w:val="0"/>
              </w:rPr>
              <w:t xml:space="preserve"> will be also contributing to ICANN Learn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ICANNWiki</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as well as publishing useful materials on NCUC website about issues related to </w:t>
            </w:r>
            <w:r w:rsidDel="00000000" w:rsidR="00000000" w:rsidRPr="00000000">
              <w:rPr>
                <w:rFonts w:ascii="Arial" w:cs="Arial" w:eastAsia="Arial" w:hAnsi="Arial"/>
                <w:sz w:val="24"/>
                <w:szCs w:val="24"/>
                <w:rtl w:val="0"/>
              </w:rPr>
              <w:t xml:space="preserve">domain name industry </w:t>
            </w:r>
            <w:r w:rsidDel="00000000" w:rsidR="00000000" w:rsidRPr="00000000">
              <w:rPr>
                <w:rFonts w:ascii="Arial" w:cs="Arial" w:eastAsia="Arial" w:hAnsi="Arial"/>
                <w:color w:val="000000"/>
                <w:sz w:val="24"/>
                <w:szCs w:val="24"/>
                <w:rtl w:val="0"/>
              </w:rPr>
              <w:t xml:space="preserve">and noncommercial rights.</w:t>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Though some of the travel funding is covered by the CROPP program, this particular request is different from outreach activities and CROPP cannot be allocated to it. CROPP is for regional engagement and mainly outreach. The restriction of CROPP program does not allow its use for  the specific purposes outlined above.</w:t>
            </w: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Type of Activity: e.g. Outreach - Education/training - Travel support - Research/Study -  Meetings - Other</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Travel Support for those NCUC members that carry out research and write materials to meetings that are related to DNS</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r>
        <w:trPr>
          <w:trHeight w:val="34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Proposed Timeline/Schedule: e.g. one time activity, recurring activity </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Pilot activity for </w:t>
            </w:r>
            <w:r w:rsidDel="00000000" w:rsidR="00000000" w:rsidRPr="00000000">
              <w:rPr>
                <w:rFonts w:ascii="Arial" w:cs="Arial" w:eastAsia="Arial" w:hAnsi="Arial"/>
                <w:sz w:val="24"/>
                <w:szCs w:val="24"/>
                <w:rtl w:val="0"/>
              </w:rPr>
              <w:t xml:space="preserve">one edition of the event</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3"/>
        <w:tblW w:w="10260.0" w:type="dxa"/>
        <w:jc w:val="left"/>
        <w:tblInd w:w="-702.0" w:type="dxa"/>
        <w:tblLayout w:type="fixed"/>
        <w:tblLook w:val="0000"/>
      </w:tblPr>
      <w:tblGrid>
        <w:gridCol w:w="10260"/>
        <w:tblGridChange w:id="0">
          <w:tblGrid>
            <w:gridCol w:w="10260"/>
          </w:tblGrid>
        </w:tblGridChange>
      </w:tblGrid>
      <w:tr>
        <w:trPr>
          <w:trHeight w:val="580" w:hRule="atLeast"/>
        </w:trPr>
        <w:tc>
          <w:tcPr>
            <w:tcBorders>
              <w:top w:color="000000" w:space="0" w:sz="6" w:val="single"/>
              <w:left w:color="000000" w:space="0" w:sz="6" w:val="single"/>
              <w:bottom w:color="000000" w:space="0" w:sz="6" w:val="single"/>
              <w:right w:color="000000" w:space="0" w:sz="6" w:val="single"/>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request objectives</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6"/>
                <w:szCs w:val="36"/>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 </w:t>
            </w:r>
            <w:r w:rsidDel="00000000" w:rsidR="00000000" w:rsidRPr="00000000">
              <w:rPr>
                <w:rtl w:val="0"/>
              </w:rPr>
            </w:r>
          </w:p>
        </w:tc>
      </w:tr>
      <w:tr>
        <w:trPr>
          <w:trHeight w:val="48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Strategic Alignment. Which area of ICANN’s Strategic Plan does this request support?</w:t>
            </w:r>
            <w:r w:rsidDel="00000000" w:rsidR="00000000" w:rsidRPr="00000000">
              <w:rPr>
                <w:rtl w:val="0"/>
              </w:rPr>
            </w:r>
          </w:p>
        </w:tc>
      </w:tr>
      <w:tr>
        <w:trPr>
          <w:trHeight w:val="4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Aligned with ICANN’s mission:  3. Coordinating the community’s policy development reasonably and appropriately related to these technical functions:</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Promote ICANN’s role and multistakeholder approach </w:t>
            </w:r>
          </w:p>
          <w:p w:rsidR="00000000" w:rsidDel="00000000" w:rsidP="00000000" w:rsidRDefault="00000000" w:rsidRPr="00000000">
            <w:pPr>
              <w:numPr>
                <w:ilvl w:val="0"/>
                <w:numId w:val="4"/>
              </w:numPr>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Demonstrate how the domain name industry can benefit from NCUC work : For instance, by conducting many awareness webinars following the GDD summit, our experts can help increase trust within the non-commercial applicants community.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r>
        <w:trPr>
          <w:trHeight w:val="380" w:hRule="atLeast"/>
        </w:trP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Demographics. What audience(s), in which geographies, does your request target?</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All ICANN regions</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Deliverables. What are the desired outcomes of your proposed activity?</w:t>
            </w:r>
          </w:p>
        </w:tc>
      </w:tr>
      <w:tr>
        <w:tc>
          <w:tcPr>
            <w:tcBorders>
              <w:top w:color="000000" w:space="0" w:sz="0" w:val="nil"/>
              <w:left w:color="000000" w:space="0" w:sz="6" w:val="single"/>
              <w:bottom w:color="000000" w:space="0" w:sz="6" w:val="single"/>
              <w:right w:color="000000" w:space="0" w:sz="6" w:val="single"/>
            </w:tcBorders>
            <w:shd w:fill="ffffff" w:val="clear"/>
          </w:tcPr>
          <w:p w:rsidR="00000000" w:rsidDel="00000000" w:rsidP="00000000" w:rsidRDefault="00000000" w:rsidRPr="00000000">
            <w:pPr>
              <w:numPr>
                <w:ilvl w:val="0"/>
                <w:numId w:val="2"/>
              </w:numPr>
              <w:spacing w:after="60" w:before="60" w:lineRule="auto"/>
              <w:ind w:left="720" w:hanging="360"/>
              <w:contextualSpacing w:val="1"/>
              <w:rPr>
                <w:rFonts w:ascii="Arial" w:cs="Arial" w:eastAsia="Arial" w:hAnsi="Arial"/>
                <w:sz w:val="24"/>
                <w:szCs w:val="24"/>
                <w:u w:val="none"/>
              </w:rPr>
            </w:pPr>
            <w:r w:rsidDel="00000000" w:rsidR="00000000" w:rsidRPr="00000000">
              <w:rPr>
                <w:rFonts w:ascii="Arial" w:cs="Arial" w:eastAsia="Arial" w:hAnsi="Arial"/>
                <w:color w:val="000000"/>
                <w:sz w:val="24"/>
                <w:szCs w:val="24"/>
                <w:rtl w:val="0"/>
              </w:rPr>
              <w:t xml:space="preserve">Production of materials by NCUC members on cutting edge issues related to </w:t>
            </w:r>
            <w:r w:rsidDel="00000000" w:rsidR="00000000" w:rsidRPr="00000000">
              <w:rPr>
                <w:rFonts w:ascii="Arial" w:cs="Arial" w:eastAsia="Arial" w:hAnsi="Arial"/>
                <w:sz w:val="24"/>
                <w:szCs w:val="24"/>
                <w:rtl w:val="0"/>
              </w:rPr>
              <w:t xml:space="preserve">the DNS as a whole and the industry in particular.</w:t>
            </w:r>
          </w:p>
          <w:p w:rsidR="00000000" w:rsidDel="00000000" w:rsidP="00000000" w:rsidRDefault="00000000" w:rsidRPr="00000000">
            <w:pPr>
              <w:numPr>
                <w:ilvl w:val="0"/>
                <w:numId w:val="2"/>
              </w:numPr>
              <w:spacing w:after="60" w:before="60" w:lineRule="auto"/>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Making</w:t>
            </w:r>
            <w:r w:rsidDel="00000000" w:rsidR="00000000" w:rsidRPr="00000000">
              <w:rPr>
                <w:rFonts w:ascii="Arial" w:cs="Arial" w:eastAsia="Arial" w:hAnsi="Arial"/>
                <w:color w:val="000000"/>
                <w:sz w:val="24"/>
                <w:szCs w:val="24"/>
                <w:rtl w:val="0"/>
              </w:rPr>
              <w:t xml:space="preserve"> connection and rais</w:t>
            </w:r>
            <w:r w:rsidDel="00000000" w:rsidR="00000000" w:rsidRPr="00000000">
              <w:rPr>
                <w:rFonts w:ascii="Arial" w:cs="Arial" w:eastAsia="Arial" w:hAnsi="Arial"/>
                <w:sz w:val="24"/>
                <w:szCs w:val="24"/>
                <w:rtl w:val="0"/>
              </w:rPr>
              <w:t xml:space="preserve">ing</w:t>
            </w:r>
            <w:r w:rsidDel="00000000" w:rsidR="00000000" w:rsidRPr="00000000">
              <w:rPr>
                <w:rFonts w:ascii="Arial" w:cs="Arial" w:eastAsia="Arial" w:hAnsi="Arial"/>
                <w:color w:val="000000"/>
                <w:sz w:val="24"/>
                <w:szCs w:val="24"/>
                <w:rtl w:val="0"/>
              </w:rPr>
              <w:t xml:space="preserve"> awareness about ICANN issues</w:t>
            </w:r>
            <w:r w:rsidDel="00000000" w:rsidR="00000000" w:rsidRPr="00000000">
              <w:rPr>
                <w:rFonts w:ascii="Arial" w:cs="Arial" w:eastAsia="Arial" w:hAnsi="Arial"/>
                <w:sz w:val="24"/>
                <w:szCs w:val="24"/>
                <w:rtl w:val="0"/>
              </w:rPr>
              <w:t xml:space="preserve"> (focusing on noncommercial issues and policy development)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0" w:val="nil"/>
              <w:left w:color="000000" w:space="0" w:sz="6" w:val="single"/>
              <w:bottom w:color="000000" w:space="0" w:sz="6" w:val="single"/>
              <w:right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Metrics. What measurements will you use to determine whether your activity achieves its desired outcomes?</w:t>
            </w:r>
            <w:r w:rsidDel="00000000" w:rsidR="00000000" w:rsidRPr="00000000">
              <w:rPr>
                <w:rtl w:val="0"/>
              </w:rPr>
            </w:r>
          </w:p>
        </w:tc>
      </w:tr>
      <w:tr>
        <w:trPr>
          <w:trHeight w:val="4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Materials produced; contributions to PDP processes; new members recruited.</w:t>
            </w: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p w:rsidR="00000000" w:rsidDel="00000000" w:rsidP="00000000" w:rsidRDefault="00000000" w:rsidRPr="00000000">
      <w:pPr>
        <w:contextualSpacing w:val="0"/>
        <w:rPr>
          <w:sz w:val="21"/>
          <w:szCs w:val="21"/>
        </w:rPr>
      </w:pPr>
      <w:r w:rsidDel="00000000" w:rsidR="00000000" w:rsidRPr="00000000">
        <w:rPr>
          <w:rtl w:val="0"/>
        </w:rPr>
      </w:r>
    </w:p>
    <w:tbl>
      <w:tblPr>
        <w:tblStyle w:val="Table5"/>
        <w:tblW w:w="10260.0" w:type="dxa"/>
        <w:jc w:val="left"/>
        <w:tblInd w:w="-702.0" w:type="dxa"/>
        <w:tblBorders>
          <w:top w:color="000000" w:space="0" w:sz="6" w:val="single"/>
          <w:left w:color="000000" w:space="0" w:sz="6" w:val="single"/>
          <w:bottom w:color="000000" w:space="0" w:sz="6" w:val="single"/>
          <w:right w:color="000000" w:space="0" w:sz="6" w:val="single"/>
        </w:tblBorders>
        <w:tblLayout w:type="fixed"/>
        <w:tblLook w:val="0000"/>
      </w:tblPr>
      <w:tblGrid>
        <w:gridCol w:w="10260"/>
        <w:tblGridChange w:id="0">
          <w:tblGrid>
            <w:gridCol w:w="10260"/>
          </w:tblGrid>
        </w:tblGridChange>
      </w:tblGrid>
      <w:tr>
        <w:trPr>
          <w:trHeight w:val="600" w:hRule="atLeast"/>
        </w:trPr>
        <w:tc>
          <w:tcPr>
            <w:tcBorders>
              <w:top w:color="000000" w:space="0" w:sz="6" w:val="single"/>
              <w:bottom w:color="000000" w:space="0" w:sz="0" w:val="nil"/>
            </w:tcBorders>
            <w:shd w:fill="808080" w:val="clear"/>
          </w:tcPr>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ffffff"/>
                <w:sz w:val="36"/>
                <w:szCs w:val="36"/>
                <w:u w:val="none"/>
                <w:shd w:fill="auto" w:val="clear"/>
                <w:vertAlign w:val="baseline"/>
                <w:rtl w:val="0"/>
              </w:rPr>
              <w:t xml:space="preserve">Resource Planning – incremental to accommodate  this request </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Staff Support Needed (not including subject matter expertise):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trHeight w:val="1080" w:hRule="atLeast"/>
        </w:trPr>
        <w:tc>
          <w:tcPr>
            <w:tcBorders>
              <w:bottom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1004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09"/>
              <w:gridCol w:w="2010"/>
              <w:gridCol w:w="2009"/>
              <w:gridCol w:w="2010"/>
              <w:gridCol w:w="2010"/>
              <w:tblGridChange w:id="0">
                <w:tblGrid>
                  <w:gridCol w:w="2009"/>
                  <w:gridCol w:w="2010"/>
                  <w:gridCol w:w="2009"/>
                  <w:gridCol w:w="2010"/>
                  <w:gridCol w:w="2010"/>
                </w:tblGrid>
              </w:tblGridChange>
            </w:tblGrid>
            <w:tr>
              <w:trPr>
                <w:trHeight w:val="240" w:hRule="atLeast"/>
              </w:trPr>
              <w:tc>
                <w:tcPr>
                  <w:tcBorders>
                    <w:top w:color="000000" w:space="0" w:sz="0" w:val="nil"/>
                    <w:left w:color="000000" w:space="0" w:sz="12" w:val="single"/>
                    <w:bottom w:color="000000" w:space="0" w:sz="12" w:val="single"/>
                    <w:right w:color="000000" w:space="0" w:sz="12"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Description</w:t>
                  </w:r>
                </w:p>
              </w:tc>
              <w:tc>
                <w:tcPr>
                  <w:tcBorders>
                    <w:top w:color="000000" w:space="0" w:sz="4" w:val="single"/>
                    <w:left w:color="000000" w:space="0" w:sz="12"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Timeline</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Assumptions</w:t>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Costs basis or parameters</w:t>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Additional Comments</w:t>
                  </w:r>
                </w:p>
              </w:tc>
            </w:tr>
            <w:tr>
              <w:trPr>
                <w:trHeight w:val="240" w:hRule="atLeast"/>
              </w:trPr>
              <w:tc>
                <w:tcPr>
                  <w:tcBorders>
                    <w:top w:color="000000" w:space="0" w:sz="12" w:val="single"/>
                    <w:left w:color="000000" w:space="0" w:sz="12" w:val="single"/>
                    <w:bottom w:color="000000" w:space="0" w:sz="4"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lef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trHeight w:val="240" w:hRule="atLeast"/>
              </w:trPr>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rPr>
                <w:trHeight w:val="240" w:hRule="atLeast"/>
              </w:trPr>
              <w:tc>
                <w:tcPr>
                  <w:tcBorders>
                    <w:top w:color="000000" w:space="0" w:sz="4" w:val="single"/>
                    <w:left w:color="000000" w:space="0" w:sz="12" w:val="single"/>
                    <w:bottom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left w:color="000000" w:space="0" w:sz="12" w:val="single"/>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c>
                <w:tcPr>
                  <w:tcBorders>
                    <w:bottom w:color="000000" w:space="0" w:sz="12" w:val="single"/>
                    <w:right w:color="000000" w:space="0" w:sz="12"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Subject Matter Expert Support:</w:t>
            </w:r>
            <w:r w:rsidDel="00000000" w:rsidR="00000000" w:rsidRPr="00000000">
              <w:rPr>
                <w:rtl w:val="0"/>
              </w:rPr>
            </w:r>
          </w:p>
        </w:tc>
      </w:tr>
      <w:tr>
        <w:trPr>
          <w:trHeight w:val="1260" w:hRule="atLeast"/>
        </w:trPr>
        <w:tc>
          <w:tcPr>
            <w:tcBorders>
              <w:left w:color="000000" w:space="0" w:sz="6" w:val="single"/>
              <w:bottom w:color="000000" w:space="0" w:sz="4"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Technology Support: (telephone, Adobe Connect, web streaming, etc.)</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contextualSpacing w:val="0"/>
              <w:rPr>
                <w:sz w:val="24"/>
                <w:szCs w:val="24"/>
              </w:rPr>
            </w:pPr>
            <w:bookmarkStart w:colFirst="0" w:colLast="0" w:name="_gjdgxs" w:id="0"/>
            <w:bookmarkEnd w:id="0"/>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Language Services Support:</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w:t>
            </w:r>
            <w:r w:rsidDel="00000000" w:rsidR="00000000" w:rsidRPr="00000000">
              <w:rPr>
                <w:rtl w:val="0"/>
              </w:rPr>
            </w:r>
          </w:p>
        </w:tc>
      </w:tr>
      <w:tr>
        <w:trPr>
          <w:trHeight w:val="1280" w:hRule="atLeast"/>
        </w:trPr>
        <w:tc>
          <w:tcPr>
            <w:tcBorders>
              <w:left w:color="000000" w:space="0" w:sz="6" w:val="single"/>
              <w:right w:color="000000" w:space="0" w:sz="6"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Travel Support:</w:t>
            </w:r>
            <w:r w:rsidDel="00000000" w:rsidR="00000000" w:rsidRPr="00000000">
              <w:rPr>
                <w:rtl w:val="0"/>
              </w:rPr>
            </w:r>
          </w:p>
        </w:tc>
      </w:tr>
      <w:tr>
        <w:trPr>
          <w:trHeight w:val="1260" w:hRule="atLeast"/>
        </w:trPr>
        <w:tc>
          <w:tcPr>
            <w:tcBorders>
              <w:left w:color="000000" w:space="0" w:sz="6" w:val="single"/>
              <w:right w:color="000000" w:space="0" w:sz="6" w:val="single"/>
            </w:tcBorders>
          </w:tcPr>
          <w:p w:rsidR="00000000" w:rsidDel="00000000" w:rsidP="00000000" w:rsidRDefault="00000000" w:rsidRPr="00000000">
            <w:pPr>
              <w:spacing w:before="20" w:lineRule="auto"/>
              <w:contextualSpacing w:val="0"/>
              <w:rPr>
                <w:sz w:val="24"/>
                <w:szCs w:val="24"/>
              </w:rPr>
            </w:pPr>
            <w:r w:rsidDel="00000000" w:rsidR="00000000" w:rsidRPr="00000000">
              <w:rPr>
                <w:rFonts w:ascii="Arial" w:cs="Arial" w:eastAsia="Arial" w:hAnsi="Arial"/>
                <w:color w:val="000000"/>
                <w:sz w:val="24"/>
                <w:szCs w:val="24"/>
                <w:rtl w:val="0"/>
              </w:rPr>
              <w:t xml:space="preserve">Yes </w:t>
            </w:r>
            <w:r w:rsidDel="00000000" w:rsidR="00000000" w:rsidRPr="00000000">
              <w:rPr>
                <w:rtl w:val="0"/>
              </w:rPr>
            </w:r>
          </w:p>
        </w:tc>
      </w:tr>
      <w:tr>
        <w:tc>
          <w:tcPr>
            <w:tcBorders>
              <w:top w:color="000000" w:space="0" w:sz="0" w:val="nil"/>
              <w:bottom w:color="000000" w:space="0" w:sz="6" w:val="single"/>
            </w:tcBorders>
            <w:shd w:fill="c0c0c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8435"/>
              </w:tabs>
              <w:spacing w:after="60" w:before="60" w:line="240" w:lineRule="auto"/>
              <w:ind w:left="0" w:right="0" w:firstLine="0"/>
              <w:contextualSpacing w:val="0"/>
              <w:jc w:val="left"/>
              <w:rPr>
                <w:rFonts w:ascii="Times New Roman" w:cs="Times New Roman" w:eastAsia="Times New Roman" w:hAnsi="Times New Roman"/>
                <w:b w:val="0"/>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Potential/planned Sponsorship Contribution:</w:t>
            </w:r>
            <w:r w:rsidDel="00000000" w:rsidR="00000000" w:rsidRPr="00000000">
              <w:rPr>
                <w:rtl w:val="0"/>
              </w:rPr>
            </w:r>
          </w:p>
        </w:tc>
      </w:tr>
      <w:tr>
        <w:trPr>
          <w:trHeight w:val="740" w:hRule="atLeast"/>
        </w:trPr>
        <w:tc>
          <w:tcPr>
            <w:tcBorders>
              <w:left w:color="000000" w:space="0" w:sz="6" w:val="single"/>
              <w:right w:color="000000" w:space="0" w:sz="6" w:val="single"/>
            </w:tcBorders>
          </w:tcPr>
          <w:p w:rsidR="00000000" w:rsidDel="00000000" w:rsidP="00000000" w:rsidRDefault="00000000" w:rsidRPr="00000000">
            <w:pPr>
              <w:contextualSpacing w:val="0"/>
              <w:rPr>
                <w:sz w:val="24"/>
                <w:szCs w:val="24"/>
              </w:rPr>
            </w:pPr>
            <w:r w:rsidDel="00000000" w:rsidR="00000000" w:rsidRPr="00000000">
              <w:rPr>
                <w:rFonts w:ascii="Arial" w:cs="Arial" w:eastAsia="Arial" w:hAnsi="Arial"/>
                <w:color w:val="000000"/>
                <w:sz w:val="24"/>
                <w:szCs w:val="24"/>
                <w:rtl w:val="0"/>
              </w:rPr>
              <w:t xml:space="preserve">No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contextualSpacing w:val="0"/>
        <w:rPr>
          <w:sz w:val="21"/>
          <w:szCs w:val="21"/>
        </w:rPr>
      </w:pPr>
      <w:r w:rsidDel="00000000" w:rsidR="00000000" w:rsidRPr="00000000">
        <w:rPr>
          <w:rtl w:val="0"/>
        </w:rPr>
      </w:r>
    </w:p>
    <w:sectPr>
      <w:headerReference r:id="rId6" w:type="default"/>
      <w:footerReference r:id="rId7" w:type="default"/>
      <w:pgSz w:h="15840" w:w="12240"/>
      <w:pgMar w:bottom="990" w:top="162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450"/>
      </w:tabs>
      <w:spacing w:after="0" w:before="0" w:line="240" w:lineRule="auto"/>
      <w:ind w:left="-810" w:right="-45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-520699</wp:posOffset>
              </wp:positionH>
              <wp:positionV relativeFrom="paragraph">
                <wp:posOffset>-88899</wp:posOffset>
              </wp:positionV>
              <wp:extent cx="6537960" cy="12700"/>
              <wp:effectExtent b="0" l="0" r="0" t="0"/>
              <wp:wrapNone/>
              <wp:docPr id="2" name=""/>
              <a:graphic>
                <a:graphicData uri="http://schemas.microsoft.com/office/word/2010/wordprocessingShape">
                  <wps:wsp>
                    <wps:cNvCnPr/>
                    <wps:spPr>
                      <a:xfrm>
                        <a:off x="2077020" y="3780000"/>
                        <a:ext cx="653796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-520699</wp:posOffset>
              </wp:positionH>
              <wp:positionV relativeFrom="paragraph">
                <wp:posOffset>-88899</wp:posOffset>
              </wp:positionV>
              <wp:extent cx="6537960"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53796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1"/>
        <w:szCs w:val="21"/>
      </w:rPr>
    </w:pPr>
    <w:r w:rsidDel="00000000" w:rsidR="00000000" w:rsidRPr="00000000">
      <w:rPr>
        <w:rtl w:val="0"/>
      </w:rPr>
    </w:r>
  </w:p>
  <w:tbl>
    <w:tblPr>
      <w:tblStyle w:val="Table6"/>
      <w:tblW w:w="1026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1"/>
      <w:gridCol w:w="7389"/>
      <w:tblGridChange w:id="0">
        <w:tblGrid>
          <w:gridCol w:w="2871"/>
          <w:gridCol w:w="7389"/>
        </w:tblGrid>
      </w:tblGridChange>
    </w:tblGrid>
    <w:tr>
      <w:trPr>
        <w:trHeight w:val="5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Pr>
            <w:drawing>
              <wp:inline distB="0" distT="0" distL="0" distR="0">
                <wp:extent cx="717550" cy="5778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17550" cy="57785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808080" w:val="cle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1"/>
              <w:i w:val="0"/>
              <w:smallCaps w:val="0"/>
              <w:strike w:val="0"/>
              <w:color w:val="ffffff"/>
              <w:sz w:val="28"/>
              <w:szCs w:val="28"/>
              <w:u w:val="none"/>
              <w:shd w:fill="auto" w:val="clear"/>
              <w:vertAlign w:val="baseline"/>
            </w:rPr>
          </w:pP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FY1</w:t>
          </w:r>
          <w:r w:rsidDel="00000000" w:rsidR="00000000" w:rsidRPr="00000000">
            <w:rPr>
              <w:rFonts w:ascii="Arial" w:cs="Arial" w:eastAsia="Arial" w:hAnsi="Arial"/>
              <w:b w:val="1"/>
              <w:color w:val="ffffff"/>
              <w:sz w:val="32"/>
              <w:szCs w:val="32"/>
              <w:rtl w:val="0"/>
            </w:rPr>
            <w:t xml:space="preserve">9</w:t>
          </w: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 COMMUNITY REQUEST FORM </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firstLine="0"/>
    </w:pPr>
    <w:rPr>
      <w:rFonts w:ascii="Arial" w:cs="Arial" w:eastAsia="Arial" w:hAnsi="Arial"/>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color w:val="ffffff"/>
      <w:sz w:val="32"/>
      <w:szCs w:val="32"/>
      <w:highlight w:val="darkGray"/>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