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45E13" w14:textId="789C9818" w:rsidR="007C4EDA" w:rsidRDefault="004D38F2">
      <w:pPr>
        <w:rPr>
          <w:sz w:val="36"/>
          <w:szCs w:val="36"/>
        </w:rPr>
      </w:pPr>
      <w:r w:rsidRPr="007C4EDA">
        <w:rPr>
          <w:sz w:val="36"/>
          <w:szCs w:val="36"/>
        </w:rPr>
        <w:t>The</w:t>
      </w:r>
      <w:r w:rsidR="005E1D43">
        <w:rPr>
          <w:sz w:val="36"/>
          <w:szCs w:val="36"/>
        </w:rPr>
        <w:t xml:space="preserve"> Non</w:t>
      </w:r>
      <w:r w:rsidRPr="007C4EDA">
        <w:rPr>
          <w:sz w:val="36"/>
          <w:szCs w:val="36"/>
        </w:rPr>
        <w:t xml:space="preserve">Commercial Users Constituency (NCUC) welcomes this opportunity to comment on the CCWG-Accountability Draft Proposal on Work Stream 1 Recommendations. We would like to thank the volunteers of the CCWG for their </w:t>
      </w:r>
      <w:r w:rsidR="007C4EDA" w:rsidRPr="007C4EDA">
        <w:rPr>
          <w:sz w:val="36"/>
          <w:szCs w:val="36"/>
        </w:rPr>
        <w:t xml:space="preserve">commitment, in terms of both time and talent, in what we know has been both a complicated and time intensive working group. </w:t>
      </w:r>
    </w:p>
    <w:p w14:paraId="0DC9DCA4" w14:textId="77777777" w:rsidR="007C4EDA" w:rsidRDefault="007C4EDA">
      <w:pPr>
        <w:rPr>
          <w:sz w:val="36"/>
          <w:szCs w:val="36"/>
        </w:rPr>
      </w:pPr>
    </w:p>
    <w:p w14:paraId="14223BF9" w14:textId="77777777" w:rsidR="007C4EDA" w:rsidRDefault="007C4EDA">
      <w:pPr>
        <w:rPr>
          <w:sz w:val="36"/>
          <w:szCs w:val="36"/>
        </w:rPr>
      </w:pPr>
      <w:r>
        <w:rPr>
          <w:sz w:val="36"/>
          <w:szCs w:val="36"/>
        </w:rPr>
        <w:t>Our comments follow, ordered as responses to the twelve recommendations contained in the Draft Proposal:</w:t>
      </w:r>
    </w:p>
    <w:p w14:paraId="0063825F" w14:textId="77777777" w:rsidR="007C4EDA" w:rsidRDefault="007C4EDA">
      <w:pPr>
        <w:rPr>
          <w:sz w:val="36"/>
          <w:szCs w:val="36"/>
        </w:rPr>
      </w:pPr>
    </w:p>
    <w:p w14:paraId="048D31DC" w14:textId="77777777" w:rsidR="007C4EDA" w:rsidRPr="00C64780" w:rsidRDefault="007C4EDA">
      <w:pPr>
        <w:rPr>
          <w:sz w:val="36"/>
          <w:szCs w:val="36"/>
        </w:rPr>
      </w:pPr>
      <w:r>
        <w:rPr>
          <w:b/>
          <w:sz w:val="36"/>
          <w:szCs w:val="36"/>
        </w:rPr>
        <w:t xml:space="preserve">Recommendation One: Establishing an Empowered Community </w:t>
      </w:r>
      <w:r w:rsidR="00C64780">
        <w:rPr>
          <w:b/>
          <w:sz w:val="36"/>
          <w:szCs w:val="36"/>
        </w:rPr>
        <w:t>for Enforcing Community Powers</w:t>
      </w:r>
    </w:p>
    <w:p w14:paraId="37BE7301" w14:textId="77777777" w:rsidR="007C4EDA" w:rsidRDefault="007C4EDA">
      <w:pPr>
        <w:rPr>
          <w:sz w:val="36"/>
          <w:szCs w:val="36"/>
        </w:rPr>
      </w:pPr>
    </w:p>
    <w:p w14:paraId="204ECA6A" w14:textId="77777777" w:rsidR="001E75E9" w:rsidRDefault="00C64780">
      <w:pPr>
        <w:rPr>
          <w:sz w:val="36"/>
          <w:szCs w:val="36"/>
        </w:rPr>
      </w:pPr>
      <w:r>
        <w:rPr>
          <w:sz w:val="36"/>
          <w:szCs w:val="36"/>
        </w:rPr>
        <w:t>The NCUC is unable to support this recommendation as currently constructed. Although in full support of the establishment of an Empowered Community, we believe that such a community should be based upon the current balance of powers and responsibilities that currently exist within ICANN.</w:t>
      </w:r>
    </w:p>
    <w:p w14:paraId="09B7F810" w14:textId="77777777" w:rsidR="00C64780" w:rsidRDefault="00C64780">
      <w:pPr>
        <w:rPr>
          <w:sz w:val="36"/>
          <w:szCs w:val="36"/>
        </w:rPr>
      </w:pPr>
    </w:p>
    <w:p w14:paraId="71B43016" w14:textId="77777777" w:rsidR="00C64780" w:rsidRDefault="00C64780">
      <w:pPr>
        <w:rPr>
          <w:sz w:val="36"/>
          <w:szCs w:val="36"/>
        </w:rPr>
      </w:pPr>
      <w:r>
        <w:rPr>
          <w:sz w:val="36"/>
          <w:szCs w:val="36"/>
        </w:rPr>
        <w:t>Advisory committees were created to advise on policy, not to create it. This proposal grants both ALAC and the GAC dual roles as decision makers within the Empowered Community while maintain</w:t>
      </w:r>
      <w:r w:rsidR="00684E96">
        <w:rPr>
          <w:sz w:val="36"/>
          <w:szCs w:val="36"/>
        </w:rPr>
        <w:t>ing</w:t>
      </w:r>
      <w:r>
        <w:rPr>
          <w:sz w:val="36"/>
          <w:szCs w:val="36"/>
        </w:rPr>
        <w:t xml:space="preserve"> their status as advisors to the ICANN Board.  </w:t>
      </w:r>
      <w:r w:rsidR="00684E96">
        <w:rPr>
          <w:sz w:val="36"/>
          <w:szCs w:val="36"/>
        </w:rPr>
        <w:t>This “double dipping” is structurally inappropriate, changes the balance of power within ICANN and needs to be rejected.</w:t>
      </w:r>
    </w:p>
    <w:p w14:paraId="28A5B7A0" w14:textId="77777777" w:rsidR="00684E96" w:rsidRDefault="00684E96">
      <w:pPr>
        <w:rPr>
          <w:sz w:val="36"/>
          <w:szCs w:val="36"/>
        </w:rPr>
      </w:pPr>
    </w:p>
    <w:p w14:paraId="788243DF" w14:textId="77777777" w:rsidR="00684E96" w:rsidRDefault="00684E96">
      <w:pPr>
        <w:rPr>
          <w:sz w:val="36"/>
          <w:szCs w:val="36"/>
        </w:rPr>
      </w:pPr>
      <w:r>
        <w:rPr>
          <w:sz w:val="36"/>
          <w:szCs w:val="36"/>
        </w:rPr>
        <w:t xml:space="preserve">We note the proposal gives ALAC weight in the Community Mechanism equal to that of each of the the Supporting </w:t>
      </w:r>
      <w:r>
        <w:rPr>
          <w:sz w:val="36"/>
          <w:szCs w:val="36"/>
        </w:rPr>
        <w:lastRenderedPageBreak/>
        <w:t xml:space="preserve">Organizations (SO). Currently ALAC appointees a single member to the Board, each SO two members. We do not believe the Accountability process should be used to change the current </w:t>
      </w:r>
      <w:r w:rsidR="00D74B3C">
        <w:rPr>
          <w:sz w:val="36"/>
          <w:szCs w:val="36"/>
        </w:rPr>
        <w:t>proportional power balance, a</w:t>
      </w:r>
      <w:r>
        <w:rPr>
          <w:sz w:val="36"/>
          <w:szCs w:val="36"/>
        </w:rPr>
        <w:t xml:space="preserve"> balance that has led the NTIA to believe ICANN is stable enough to be granted independence.</w:t>
      </w:r>
    </w:p>
    <w:p w14:paraId="3872BE8B" w14:textId="77777777" w:rsidR="00D74B3C" w:rsidRDefault="00D74B3C">
      <w:pPr>
        <w:rPr>
          <w:sz w:val="36"/>
          <w:szCs w:val="36"/>
        </w:rPr>
      </w:pPr>
    </w:p>
    <w:p w14:paraId="2504B024" w14:textId="15BABEC7" w:rsidR="00D74B3C" w:rsidRDefault="00D74B3C">
      <w:pPr>
        <w:rPr>
          <w:sz w:val="36"/>
          <w:szCs w:val="36"/>
        </w:rPr>
      </w:pPr>
      <w:r>
        <w:rPr>
          <w:sz w:val="36"/>
          <w:szCs w:val="36"/>
        </w:rPr>
        <w:t xml:space="preserve">We also have concerns about allowing the GAC both to maintain its current privileged advisory position while also being allowed to participate in the Community Mechanism. ICANN’s Articles and Bylaws prohibit the GAC from appointing Board members. It is counterintuitive to allow an organ that is not allowed to appoint a Board member to remove one or all. </w:t>
      </w:r>
      <w:r w:rsidR="00717492">
        <w:rPr>
          <w:sz w:val="36"/>
          <w:szCs w:val="36"/>
        </w:rPr>
        <w:t>Yet this Proposal does precisely that.</w:t>
      </w:r>
    </w:p>
    <w:p w14:paraId="3FE62028" w14:textId="77777777" w:rsidR="00D74B3C" w:rsidRDefault="00D74B3C">
      <w:pPr>
        <w:rPr>
          <w:sz w:val="36"/>
          <w:szCs w:val="36"/>
        </w:rPr>
      </w:pPr>
    </w:p>
    <w:p w14:paraId="7A6C7884" w14:textId="77777777" w:rsidR="00D74B3C" w:rsidRDefault="00D74B3C">
      <w:pPr>
        <w:rPr>
          <w:b/>
          <w:sz w:val="36"/>
          <w:szCs w:val="36"/>
        </w:rPr>
      </w:pPr>
    </w:p>
    <w:p w14:paraId="2E5865ED" w14:textId="77777777" w:rsidR="00D74B3C" w:rsidRDefault="00D74B3C">
      <w:pPr>
        <w:rPr>
          <w:b/>
          <w:sz w:val="36"/>
          <w:szCs w:val="36"/>
        </w:rPr>
      </w:pPr>
      <w:r>
        <w:rPr>
          <w:b/>
          <w:sz w:val="36"/>
          <w:szCs w:val="36"/>
        </w:rPr>
        <w:t>Recommendation Two: Empower the Community Through Consensus: Engage, Escalate, Enforce</w:t>
      </w:r>
    </w:p>
    <w:p w14:paraId="104B0640" w14:textId="77777777" w:rsidR="004F223E" w:rsidRPr="004F223E" w:rsidRDefault="004F223E" w:rsidP="004F223E">
      <w:pPr>
        <w:rPr>
          <w:sz w:val="36"/>
          <w:szCs w:val="36"/>
        </w:rPr>
      </w:pPr>
      <w:r w:rsidRPr="004F223E">
        <w:rPr>
          <w:b/>
          <w:bCs/>
          <w:sz w:val="36"/>
          <w:szCs w:val="36"/>
        </w:rPr>
        <w:t> </w:t>
      </w:r>
    </w:p>
    <w:p w14:paraId="293B6DDD" w14:textId="77777777" w:rsidR="004F223E" w:rsidRPr="004F223E" w:rsidRDefault="004F223E" w:rsidP="004F223E">
      <w:pPr>
        <w:rPr>
          <w:sz w:val="36"/>
          <w:szCs w:val="36"/>
        </w:rPr>
      </w:pPr>
      <w:r w:rsidRPr="004F223E">
        <w:rPr>
          <w:sz w:val="36"/>
          <w:szCs w:val="36"/>
        </w:rPr>
        <w:t>The NCUC supports this recommendation in general terms, while having some concern over specifics of the process that still need to be developed.</w:t>
      </w:r>
    </w:p>
    <w:p w14:paraId="67F27BFE" w14:textId="77777777" w:rsidR="004F223E" w:rsidRPr="004F223E" w:rsidRDefault="004F223E" w:rsidP="004F223E">
      <w:pPr>
        <w:rPr>
          <w:sz w:val="36"/>
          <w:szCs w:val="36"/>
        </w:rPr>
      </w:pPr>
      <w:r w:rsidRPr="004F223E">
        <w:rPr>
          <w:sz w:val="36"/>
          <w:szCs w:val="36"/>
        </w:rPr>
        <w:t> </w:t>
      </w:r>
    </w:p>
    <w:p w14:paraId="5C8BAEC4" w14:textId="77777777" w:rsidR="004F223E" w:rsidRPr="004F223E" w:rsidRDefault="004F223E" w:rsidP="004F223E">
      <w:pPr>
        <w:rPr>
          <w:sz w:val="36"/>
          <w:szCs w:val="36"/>
        </w:rPr>
      </w:pPr>
      <w:r w:rsidRPr="004F223E">
        <w:rPr>
          <w:sz w:val="36"/>
          <w:szCs w:val="36"/>
        </w:rPr>
        <w:t>There is a general lack of specificity in the recommendations concerning the nature and extent of the Board’s obligations to involve itself in the process (e.g. what constitutes “a very extensive engagement”) and as to the exact nature of the required “consensus” itself.  These ideas need to be further developed.</w:t>
      </w:r>
    </w:p>
    <w:p w14:paraId="75BC79D4" w14:textId="77777777" w:rsidR="004F223E" w:rsidRPr="004F223E" w:rsidRDefault="004F223E" w:rsidP="004F223E">
      <w:pPr>
        <w:rPr>
          <w:sz w:val="36"/>
          <w:szCs w:val="36"/>
        </w:rPr>
      </w:pPr>
      <w:r w:rsidRPr="004F223E">
        <w:rPr>
          <w:sz w:val="36"/>
          <w:szCs w:val="36"/>
        </w:rPr>
        <w:t> </w:t>
      </w:r>
    </w:p>
    <w:p w14:paraId="5A9AB80B" w14:textId="77777777" w:rsidR="004F223E" w:rsidRPr="004F223E" w:rsidRDefault="004F223E" w:rsidP="004F223E">
      <w:pPr>
        <w:rPr>
          <w:sz w:val="36"/>
          <w:szCs w:val="36"/>
        </w:rPr>
      </w:pPr>
      <w:r w:rsidRPr="004F223E">
        <w:rPr>
          <w:sz w:val="36"/>
          <w:szCs w:val="36"/>
        </w:rPr>
        <w:t>Our greatest concern, though, involves the timeline of the 3E process. Simply put, there simply is not enough time provided between steps in the process. Consideration must be given to the fact that ICANN is a volunteer community spread throughout the globe. Our SO’s and AC’s are themselves composed of constituent parts that need to be consulted before actions by the SO or AC should be taken.</w:t>
      </w:r>
    </w:p>
    <w:p w14:paraId="7C936BEA" w14:textId="77777777" w:rsidR="004F223E" w:rsidRPr="004F223E" w:rsidRDefault="004F223E" w:rsidP="004F223E">
      <w:pPr>
        <w:rPr>
          <w:sz w:val="36"/>
          <w:szCs w:val="36"/>
        </w:rPr>
      </w:pPr>
      <w:r w:rsidRPr="004F223E">
        <w:rPr>
          <w:sz w:val="36"/>
          <w:szCs w:val="36"/>
        </w:rPr>
        <w:t> </w:t>
      </w:r>
    </w:p>
    <w:p w14:paraId="3E9FDBC1" w14:textId="77777777" w:rsidR="00684E96" w:rsidRDefault="004F223E" w:rsidP="004F223E">
      <w:pPr>
        <w:rPr>
          <w:sz w:val="36"/>
          <w:szCs w:val="36"/>
        </w:rPr>
      </w:pPr>
      <w:r w:rsidRPr="004F223E">
        <w:rPr>
          <w:sz w:val="36"/>
          <w:szCs w:val="36"/>
        </w:rPr>
        <w:t>The 15 day / 6 day / 7 day / 15 day / 15 day timeframe included in the escalation process does not allow the SO’s and AC’s sufficient time to consult with their members, component parts or other actors within the community, before taking action. The proposed timelines need to be revisited and revised to ensure that community powers are able to be used in a bottom up manner with full community collaboration and consultation as its basis.</w:t>
      </w:r>
      <w:r w:rsidR="00C47156">
        <w:rPr>
          <w:sz w:val="36"/>
          <w:szCs w:val="36"/>
        </w:rPr>
        <w:t xml:space="preserve"> A minimum of on week additional time should be considered for all steps, and id particularly wanted for the first two steps in the escalation process.</w:t>
      </w:r>
    </w:p>
    <w:p w14:paraId="15BE5CBF" w14:textId="77777777" w:rsidR="004F223E" w:rsidRDefault="004F223E" w:rsidP="004F223E">
      <w:pPr>
        <w:rPr>
          <w:sz w:val="36"/>
          <w:szCs w:val="36"/>
        </w:rPr>
      </w:pPr>
    </w:p>
    <w:p w14:paraId="42F8D8DD" w14:textId="77777777" w:rsidR="004F223E" w:rsidRDefault="004F223E" w:rsidP="004F223E">
      <w:pPr>
        <w:rPr>
          <w:b/>
          <w:sz w:val="36"/>
          <w:szCs w:val="36"/>
        </w:rPr>
      </w:pPr>
      <w:r>
        <w:rPr>
          <w:b/>
          <w:sz w:val="36"/>
          <w:szCs w:val="36"/>
        </w:rPr>
        <w:t>Recommendation Three: Redefining ICANN’s Bylaws as ‘Standard Bylaws’ and ‘Fundamental Bylaws’</w:t>
      </w:r>
    </w:p>
    <w:p w14:paraId="5FA46914" w14:textId="77777777" w:rsidR="004F223E" w:rsidRDefault="004F223E" w:rsidP="004F223E">
      <w:pPr>
        <w:rPr>
          <w:b/>
          <w:sz w:val="36"/>
          <w:szCs w:val="36"/>
        </w:rPr>
      </w:pPr>
    </w:p>
    <w:p w14:paraId="41601974" w14:textId="77777777" w:rsidR="004F223E" w:rsidRDefault="001C2D70" w:rsidP="004F223E">
      <w:pPr>
        <w:rPr>
          <w:sz w:val="36"/>
          <w:szCs w:val="36"/>
        </w:rPr>
      </w:pPr>
      <w:r>
        <w:rPr>
          <w:sz w:val="36"/>
          <w:szCs w:val="36"/>
        </w:rPr>
        <w:t xml:space="preserve">The NCUC supports this recommendation. </w:t>
      </w:r>
    </w:p>
    <w:p w14:paraId="1EBD5447" w14:textId="77777777" w:rsidR="001C2D70" w:rsidRDefault="001C2D70" w:rsidP="004F223E">
      <w:pPr>
        <w:rPr>
          <w:sz w:val="36"/>
          <w:szCs w:val="36"/>
        </w:rPr>
      </w:pPr>
    </w:p>
    <w:p w14:paraId="6056F92A" w14:textId="77777777" w:rsidR="001C2D70" w:rsidRDefault="001C2D70" w:rsidP="004F223E">
      <w:pPr>
        <w:rPr>
          <w:sz w:val="36"/>
          <w:szCs w:val="36"/>
        </w:rPr>
      </w:pPr>
      <w:r>
        <w:rPr>
          <w:sz w:val="36"/>
          <w:szCs w:val="36"/>
        </w:rPr>
        <w:t xml:space="preserve">Not all Bylaws are equal in importance and by creating two categories with different rules and procedures governing each the CCWG recognizes this. Requiring community assent for any change </w:t>
      </w:r>
      <w:r w:rsidR="00E02136">
        <w:rPr>
          <w:sz w:val="36"/>
          <w:szCs w:val="36"/>
        </w:rPr>
        <w:t>to the fundamental Bylaws gives the community, including the NCUC, assurance that no fundamental change to the nature or structure of ICANN will occur without the consent of all parties involved.</w:t>
      </w:r>
    </w:p>
    <w:p w14:paraId="03A1A424" w14:textId="77777777" w:rsidR="00E02136" w:rsidRDefault="00E02136" w:rsidP="004F223E">
      <w:pPr>
        <w:rPr>
          <w:sz w:val="36"/>
          <w:szCs w:val="36"/>
        </w:rPr>
      </w:pPr>
    </w:p>
    <w:p w14:paraId="6B22B16C" w14:textId="77777777" w:rsidR="00E02136" w:rsidRDefault="00E02136" w:rsidP="004F223E">
      <w:pPr>
        <w:rPr>
          <w:sz w:val="36"/>
          <w:szCs w:val="36"/>
        </w:rPr>
      </w:pPr>
      <w:r>
        <w:rPr>
          <w:sz w:val="36"/>
          <w:szCs w:val="36"/>
        </w:rPr>
        <w:t>The NCUC wishes to make clear its full support for making the right of inspection, pe</w:t>
      </w:r>
      <w:r w:rsidR="00B26091">
        <w:rPr>
          <w:sz w:val="36"/>
          <w:szCs w:val="36"/>
        </w:rPr>
        <w:t>r California Corporations Code §</w:t>
      </w:r>
      <w:r>
        <w:rPr>
          <w:sz w:val="36"/>
          <w:szCs w:val="36"/>
        </w:rPr>
        <w:t>6330, a fundamental bylaw. We specifically support the plan</w:t>
      </w:r>
      <w:r w:rsidR="00D06053">
        <w:rPr>
          <w:sz w:val="36"/>
          <w:szCs w:val="36"/>
        </w:rPr>
        <w:t xml:space="preserve"> and substantive content</w:t>
      </w:r>
      <w:r>
        <w:rPr>
          <w:sz w:val="36"/>
          <w:szCs w:val="36"/>
        </w:rPr>
        <w:t xml:space="preserve"> developed by Sidley Austin</w:t>
      </w:r>
      <w:r w:rsidR="00D06053">
        <w:rPr>
          <w:sz w:val="36"/>
          <w:szCs w:val="36"/>
        </w:rPr>
        <w:t xml:space="preserve"> and </w:t>
      </w:r>
      <w:r>
        <w:rPr>
          <w:sz w:val="36"/>
          <w:szCs w:val="36"/>
        </w:rPr>
        <w:t>Adler &amp; Colvin</w:t>
      </w:r>
      <w:r w:rsidR="00D06053">
        <w:rPr>
          <w:sz w:val="36"/>
          <w:szCs w:val="36"/>
        </w:rPr>
        <w:t xml:space="preserve"> and detailed in their December 10, 2015 memorandum to the CCWG entitled “Developing Bylaws Provisions for Inspection Rights”.  We wish to indicate our preference, per the</w:t>
      </w:r>
      <w:r w:rsidR="008E4E1B">
        <w:rPr>
          <w:sz w:val="36"/>
          <w:szCs w:val="36"/>
        </w:rPr>
        <w:t xml:space="preserve"> </w:t>
      </w:r>
      <w:r w:rsidR="00D06053">
        <w:rPr>
          <w:sz w:val="36"/>
          <w:szCs w:val="36"/>
        </w:rPr>
        <w:t>options listed in the response to Question 6 in said memorandum, for a process whereby the initial request for Inspection may be made by a single SO / AC directly to ICANN with the escalating community decision-making process to be invoke</w:t>
      </w:r>
      <w:r w:rsidR="00C47156">
        <w:rPr>
          <w:sz w:val="36"/>
          <w:szCs w:val="36"/>
        </w:rPr>
        <w:t>d</w:t>
      </w:r>
      <w:r w:rsidR="00D06053">
        <w:rPr>
          <w:sz w:val="36"/>
          <w:szCs w:val="36"/>
        </w:rPr>
        <w:t xml:space="preserve"> only if ICANN refuses or ignores the request by the petitioning SO/AC.</w:t>
      </w:r>
    </w:p>
    <w:p w14:paraId="2CFD6CDA" w14:textId="77777777" w:rsidR="00C47156" w:rsidRDefault="00C47156" w:rsidP="004F223E">
      <w:pPr>
        <w:rPr>
          <w:sz w:val="36"/>
          <w:szCs w:val="36"/>
        </w:rPr>
      </w:pPr>
    </w:p>
    <w:p w14:paraId="1145C156" w14:textId="77777777" w:rsidR="00C47156" w:rsidRDefault="00C47156" w:rsidP="004F223E">
      <w:pPr>
        <w:rPr>
          <w:b/>
          <w:sz w:val="36"/>
          <w:szCs w:val="36"/>
        </w:rPr>
      </w:pPr>
      <w:r>
        <w:rPr>
          <w:b/>
          <w:sz w:val="36"/>
          <w:szCs w:val="36"/>
        </w:rPr>
        <w:t>Recommendation Four: Empowering Community Involvement in ICANN Decision-making: Seven New Community Powers</w:t>
      </w:r>
    </w:p>
    <w:p w14:paraId="3C16C76D" w14:textId="77777777" w:rsidR="00C47156" w:rsidRDefault="00C47156" w:rsidP="004F223E">
      <w:pPr>
        <w:rPr>
          <w:b/>
          <w:sz w:val="36"/>
          <w:szCs w:val="36"/>
        </w:rPr>
      </w:pPr>
    </w:p>
    <w:p w14:paraId="50ED6981" w14:textId="77777777" w:rsidR="00C47156" w:rsidRDefault="00C47156" w:rsidP="004F223E">
      <w:pPr>
        <w:rPr>
          <w:sz w:val="36"/>
          <w:szCs w:val="36"/>
        </w:rPr>
      </w:pPr>
      <w:r>
        <w:rPr>
          <w:sz w:val="36"/>
          <w:szCs w:val="36"/>
        </w:rPr>
        <w:t>The NCUC supports this recommendation.</w:t>
      </w:r>
    </w:p>
    <w:p w14:paraId="3EF54996" w14:textId="77777777" w:rsidR="00C47156" w:rsidRDefault="00C47156" w:rsidP="004F223E">
      <w:pPr>
        <w:rPr>
          <w:sz w:val="36"/>
          <w:szCs w:val="36"/>
        </w:rPr>
      </w:pPr>
    </w:p>
    <w:p w14:paraId="6314E385" w14:textId="77777777" w:rsidR="00C47156" w:rsidRDefault="00EC215B" w:rsidP="004F223E">
      <w:pPr>
        <w:rPr>
          <w:sz w:val="36"/>
          <w:szCs w:val="36"/>
        </w:rPr>
      </w:pPr>
      <w:r>
        <w:rPr>
          <w:sz w:val="36"/>
          <w:szCs w:val="36"/>
        </w:rPr>
        <w:t>Although not a</w:t>
      </w:r>
      <w:r w:rsidR="00FE23BF">
        <w:rPr>
          <w:sz w:val="36"/>
          <w:szCs w:val="36"/>
        </w:rPr>
        <w:t>s strong as the previous reference model, membership,</w:t>
      </w:r>
      <w:r>
        <w:rPr>
          <w:sz w:val="36"/>
          <w:szCs w:val="36"/>
        </w:rPr>
        <w:t xml:space="preserve"> we do agree that indirect enforcement of community powers through the Sole Designa</w:t>
      </w:r>
      <w:r w:rsidR="00FE23BF">
        <w:rPr>
          <w:sz w:val="36"/>
          <w:szCs w:val="36"/>
        </w:rPr>
        <w:t>tor model may be sufficient. The strong</w:t>
      </w:r>
      <w:r>
        <w:rPr>
          <w:sz w:val="36"/>
          <w:szCs w:val="36"/>
        </w:rPr>
        <w:t xml:space="preserve"> link between community powers </w:t>
      </w:r>
      <w:r w:rsidR="00FE23BF">
        <w:rPr>
          <w:sz w:val="36"/>
          <w:szCs w:val="36"/>
        </w:rPr>
        <w:t xml:space="preserve">and the Independent Review Process (IRP) is one of the major reasons we have come to this belief. </w:t>
      </w:r>
    </w:p>
    <w:p w14:paraId="336951F7" w14:textId="77777777" w:rsidR="00FE23BF" w:rsidRDefault="00FE23BF" w:rsidP="004F223E">
      <w:pPr>
        <w:rPr>
          <w:sz w:val="36"/>
          <w:szCs w:val="36"/>
        </w:rPr>
      </w:pPr>
    </w:p>
    <w:p w14:paraId="6A7A32BD" w14:textId="77777777" w:rsidR="00FE23BF" w:rsidRDefault="00FE23BF" w:rsidP="004F223E">
      <w:pPr>
        <w:rPr>
          <w:sz w:val="36"/>
          <w:szCs w:val="36"/>
        </w:rPr>
      </w:pPr>
      <w:r>
        <w:rPr>
          <w:sz w:val="36"/>
          <w:szCs w:val="36"/>
        </w:rPr>
        <w:t>We support the 1) two pronged approach to the budget, 2) the proposed plan to allow the community to reject changes to standard bylaws, 3) community approval powers related to changes to fundamental bylaws, 4) the proposed plan for initiating the IRP, and 5) the proposals for removing individual Board members and the entire Board. Regarding the removal of Board members appointed by a</w:t>
      </w:r>
      <w:r w:rsidR="002B67AE">
        <w:rPr>
          <w:sz w:val="36"/>
          <w:szCs w:val="36"/>
        </w:rPr>
        <w:t xml:space="preserve"> SO/AC, such removal shall be at the direction of the appointing SO/AC and should not be subject to any list of defined conditions for removal.</w:t>
      </w:r>
    </w:p>
    <w:p w14:paraId="6CF97DD6" w14:textId="77777777" w:rsidR="002B67AE" w:rsidRDefault="002B67AE" w:rsidP="004F223E">
      <w:pPr>
        <w:rPr>
          <w:sz w:val="36"/>
          <w:szCs w:val="36"/>
        </w:rPr>
      </w:pPr>
    </w:p>
    <w:p w14:paraId="3A5D5A47" w14:textId="77777777" w:rsidR="00C47156" w:rsidRPr="007B00EC" w:rsidRDefault="002B67AE" w:rsidP="004F223E">
      <w:pPr>
        <w:rPr>
          <w:rFonts w:ascii="Calibri" w:hAnsi="Calibri"/>
          <w:bCs/>
          <w:sz w:val="36"/>
          <w:szCs w:val="36"/>
        </w:rPr>
      </w:pPr>
      <w:r w:rsidRPr="007B00EC">
        <w:rPr>
          <w:rFonts w:ascii="Calibri" w:hAnsi="Calibri"/>
          <w:bCs/>
          <w:sz w:val="36"/>
          <w:szCs w:val="36"/>
        </w:rPr>
        <w:t>We support the provision that DIDP disputes are within the scope of permissible subject matter for an IRP. It should be made clear, however, that access to the IRP for this type of dispute should be available for all parties eligible to file a DIDP and not solely reserved to or subject to the approval of the Empowered Community itself.</w:t>
      </w:r>
    </w:p>
    <w:p w14:paraId="2A5D200C" w14:textId="77777777" w:rsidR="00093B83" w:rsidRPr="007B00EC" w:rsidRDefault="00093B83" w:rsidP="004F223E">
      <w:pPr>
        <w:rPr>
          <w:rFonts w:ascii="Calibri" w:hAnsi="Calibri"/>
          <w:bCs/>
          <w:sz w:val="36"/>
          <w:szCs w:val="36"/>
        </w:rPr>
      </w:pPr>
    </w:p>
    <w:p w14:paraId="51A3466C" w14:textId="77777777" w:rsidR="00093B83" w:rsidRPr="007B00EC" w:rsidRDefault="00093B83" w:rsidP="004F223E">
      <w:pPr>
        <w:rPr>
          <w:rFonts w:ascii="Calibri" w:hAnsi="Calibri"/>
          <w:bCs/>
          <w:sz w:val="36"/>
          <w:szCs w:val="36"/>
        </w:rPr>
      </w:pPr>
    </w:p>
    <w:p w14:paraId="7FD183CF" w14:textId="77777777" w:rsidR="00093B83" w:rsidRPr="007B00EC" w:rsidRDefault="00093B83" w:rsidP="004F223E">
      <w:pPr>
        <w:rPr>
          <w:rFonts w:ascii="Calibri" w:hAnsi="Calibri"/>
          <w:b/>
          <w:bCs/>
          <w:sz w:val="36"/>
          <w:szCs w:val="36"/>
        </w:rPr>
      </w:pPr>
      <w:r w:rsidRPr="007B00EC">
        <w:rPr>
          <w:rFonts w:ascii="Calibri" w:hAnsi="Calibri"/>
          <w:b/>
          <w:bCs/>
          <w:sz w:val="36"/>
          <w:szCs w:val="36"/>
        </w:rPr>
        <w:t>Recommendation Five: Changing Aspects of ICANN’s Mission, Commitments and Core Values</w:t>
      </w:r>
    </w:p>
    <w:p w14:paraId="23BA8F97" w14:textId="77777777" w:rsidR="00093B83" w:rsidRPr="007B00EC" w:rsidRDefault="00093B83" w:rsidP="004F223E">
      <w:pPr>
        <w:rPr>
          <w:rFonts w:ascii="Calibri" w:hAnsi="Calibri"/>
          <w:bCs/>
          <w:sz w:val="36"/>
          <w:szCs w:val="36"/>
        </w:rPr>
      </w:pPr>
    </w:p>
    <w:p w14:paraId="47236334" w14:textId="77777777" w:rsidR="007B00EC" w:rsidRPr="007B00EC" w:rsidRDefault="007B00EC" w:rsidP="007B00EC">
      <w:pPr>
        <w:widowControl w:val="0"/>
        <w:autoSpaceDE w:val="0"/>
        <w:autoSpaceDN w:val="0"/>
        <w:adjustRightInd w:val="0"/>
        <w:rPr>
          <w:rFonts w:ascii="Calibri" w:hAnsi="Calibri" w:cs="Arial"/>
          <w:bCs/>
          <w:color w:val="1A1A1A"/>
          <w:sz w:val="36"/>
          <w:szCs w:val="36"/>
        </w:rPr>
      </w:pPr>
      <w:r w:rsidRPr="007B00EC">
        <w:rPr>
          <w:rFonts w:ascii="Calibri" w:hAnsi="Calibri" w:cs="Arial"/>
          <w:bCs/>
          <w:color w:val="1A1A1A"/>
          <w:sz w:val="36"/>
          <w:szCs w:val="36"/>
        </w:rPr>
        <w:t>The NCUC supports this recommendation.</w:t>
      </w:r>
    </w:p>
    <w:p w14:paraId="33A1A971" w14:textId="77777777" w:rsidR="007B00EC" w:rsidRPr="007B00EC" w:rsidRDefault="007B00EC" w:rsidP="007B00EC">
      <w:pPr>
        <w:widowControl w:val="0"/>
        <w:autoSpaceDE w:val="0"/>
        <w:autoSpaceDN w:val="0"/>
        <w:adjustRightInd w:val="0"/>
        <w:rPr>
          <w:rFonts w:ascii="Calibri" w:hAnsi="Calibri" w:cs="Arial"/>
          <w:bCs/>
          <w:color w:val="1A1A1A"/>
          <w:sz w:val="36"/>
          <w:szCs w:val="36"/>
        </w:rPr>
      </w:pPr>
      <w:r w:rsidRPr="007B00EC">
        <w:rPr>
          <w:rFonts w:ascii="Calibri" w:hAnsi="Calibri" w:cs="Arial"/>
          <w:bCs/>
          <w:color w:val="1A1A1A"/>
          <w:sz w:val="36"/>
          <w:szCs w:val="36"/>
        </w:rPr>
        <w:t> </w:t>
      </w:r>
    </w:p>
    <w:p w14:paraId="5BEE2EF0" w14:textId="77777777" w:rsidR="00093B83" w:rsidRPr="007B00EC" w:rsidRDefault="007B00EC" w:rsidP="007B00EC">
      <w:pPr>
        <w:rPr>
          <w:rFonts w:ascii="Calibri" w:hAnsi="Calibri"/>
          <w:bCs/>
          <w:sz w:val="36"/>
          <w:szCs w:val="36"/>
        </w:rPr>
      </w:pPr>
      <w:r w:rsidRPr="007B00EC">
        <w:rPr>
          <w:rFonts w:ascii="Calibri" w:hAnsi="Calibri" w:cs="Times"/>
          <w:bCs/>
          <w:color w:val="1A1A1A"/>
          <w:sz w:val="36"/>
          <w:szCs w:val="36"/>
        </w:rPr>
        <w:t xml:space="preserve">This support is contingent upon further review of the exact language developed by the drafters in response to this Draft. The Bylaws language needs to effectively restrain ICANN from acting outside its “picket fence”, i.e. the area directly related </w:t>
      </w:r>
      <w:r w:rsidRPr="007B00EC">
        <w:rPr>
          <w:rFonts w:ascii="Calibri" w:hAnsi="Calibri" w:cs="Times"/>
          <w:bCs/>
          <w:color w:val="1A1A1A"/>
          <w:sz w:val="36"/>
          <w:szCs w:val="36"/>
        </w:rPr>
        <w:t xml:space="preserve">to DNS policy-making. It is of </w:t>
      </w:r>
      <w:r w:rsidRPr="007B00EC">
        <w:rPr>
          <w:rFonts w:ascii="Calibri" w:hAnsi="Calibri" w:cs="Times"/>
          <w:bCs/>
          <w:color w:val="1A1A1A"/>
          <w:sz w:val="36"/>
          <w:szCs w:val="36"/>
        </w:rPr>
        <w:t xml:space="preserve">particular concern to the NCUC that ICANN </w:t>
      </w:r>
      <w:r w:rsidRPr="007B00EC">
        <w:rPr>
          <w:rFonts w:ascii="Calibri" w:hAnsi="Calibri" w:cs="Times"/>
          <w:bCs/>
          <w:color w:val="1A1A1A"/>
          <w:sz w:val="36"/>
          <w:szCs w:val="36"/>
        </w:rPr>
        <w:t xml:space="preserve">be restrained from engaging in </w:t>
      </w:r>
      <w:r w:rsidRPr="007B00EC">
        <w:rPr>
          <w:rFonts w:ascii="Calibri" w:hAnsi="Calibri" w:cs="Times"/>
          <w:bCs/>
          <w:color w:val="1A1A1A"/>
          <w:sz w:val="36"/>
          <w:szCs w:val="36"/>
        </w:rPr>
        <w:t>content regulation</w:t>
      </w:r>
      <w:r w:rsidRPr="007B00EC">
        <w:rPr>
          <w:rFonts w:ascii="Calibri" w:hAnsi="Calibri" w:cs="Times"/>
          <w:bCs/>
          <w:color w:val="1A1A1A"/>
          <w:sz w:val="36"/>
          <w:szCs w:val="36"/>
        </w:rPr>
        <w:t xml:space="preserve"> of any form.</w:t>
      </w:r>
    </w:p>
    <w:p w14:paraId="5B8B93B0" w14:textId="77777777" w:rsidR="007B00EC" w:rsidRDefault="007B00EC" w:rsidP="007B00EC">
      <w:pPr>
        <w:rPr>
          <w:rFonts w:ascii="Calibri" w:hAnsi="Calibri"/>
          <w:b/>
          <w:bCs/>
          <w:sz w:val="36"/>
          <w:szCs w:val="36"/>
        </w:rPr>
      </w:pPr>
      <w:r>
        <w:rPr>
          <w:rFonts w:ascii="Calibri" w:hAnsi="Calibri"/>
          <w:b/>
          <w:sz w:val="36"/>
          <w:szCs w:val="36"/>
        </w:rPr>
        <w:t xml:space="preserve">Recommendation Six: </w:t>
      </w:r>
      <w:r w:rsidRPr="007B00EC">
        <w:rPr>
          <w:rFonts w:ascii="Calibri" w:hAnsi="Calibri"/>
          <w:b/>
          <w:bCs/>
          <w:sz w:val="36"/>
          <w:szCs w:val="36"/>
        </w:rPr>
        <w:t>Reaf</w:t>
      </w:r>
      <w:r>
        <w:rPr>
          <w:rFonts w:ascii="Calibri" w:hAnsi="Calibri"/>
          <w:b/>
          <w:bCs/>
          <w:sz w:val="36"/>
          <w:szCs w:val="36"/>
        </w:rPr>
        <w:t>firming ICANN's Commitment to Respect Internationally R</w:t>
      </w:r>
      <w:r w:rsidRPr="007B00EC">
        <w:rPr>
          <w:rFonts w:ascii="Calibri" w:hAnsi="Calibri"/>
          <w:b/>
          <w:bCs/>
          <w:sz w:val="36"/>
          <w:szCs w:val="36"/>
        </w:rPr>
        <w:t xml:space="preserve">ecognized Human </w:t>
      </w:r>
      <w:r>
        <w:rPr>
          <w:rFonts w:ascii="Calibri" w:hAnsi="Calibri"/>
          <w:b/>
          <w:bCs/>
          <w:sz w:val="36"/>
          <w:szCs w:val="36"/>
        </w:rPr>
        <w:t>Rights as it Carries Out It’s M</w:t>
      </w:r>
      <w:r w:rsidRPr="007B00EC">
        <w:rPr>
          <w:rFonts w:ascii="Calibri" w:hAnsi="Calibri"/>
          <w:b/>
          <w:bCs/>
          <w:sz w:val="36"/>
          <w:szCs w:val="36"/>
        </w:rPr>
        <w:t>ission</w:t>
      </w:r>
    </w:p>
    <w:p w14:paraId="14ADB35D" w14:textId="77777777" w:rsidR="007B00EC" w:rsidRDefault="007B00EC" w:rsidP="007B00EC">
      <w:pPr>
        <w:rPr>
          <w:rFonts w:ascii="Calibri" w:hAnsi="Calibri"/>
          <w:b/>
          <w:bCs/>
          <w:sz w:val="36"/>
          <w:szCs w:val="36"/>
        </w:rPr>
      </w:pPr>
    </w:p>
    <w:p w14:paraId="66C6A3E4" w14:textId="77777777" w:rsidR="007B00EC" w:rsidRDefault="007B00EC" w:rsidP="007B00EC">
      <w:pPr>
        <w:rPr>
          <w:rFonts w:ascii="Calibri" w:hAnsi="Calibri"/>
          <w:bCs/>
          <w:sz w:val="36"/>
          <w:szCs w:val="36"/>
        </w:rPr>
      </w:pPr>
      <w:r>
        <w:rPr>
          <w:rFonts w:ascii="Calibri" w:hAnsi="Calibri"/>
          <w:bCs/>
          <w:sz w:val="36"/>
          <w:szCs w:val="36"/>
        </w:rPr>
        <w:t>The NCUC supports this recommendation.</w:t>
      </w:r>
    </w:p>
    <w:p w14:paraId="6D8A4900" w14:textId="77777777" w:rsidR="007B00EC" w:rsidRDefault="007B00EC" w:rsidP="007B00EC">
      <w:pPr>
        <w:rPr>
          <w:rFonts w:ascii="Calibri" w:hAnsi="Calibri"/>
          <w:bCs/>
          <w:sz w:val="36"/>
          <w:szCs w:val="36"/>
        </w:rPr>
      </w:pPr>
    </w:p>
    <w:p w14:paraId="6D1F89C5" w14:textId="77777777" w:rsidR="00544F63" w:rsidRDefault="000E7A77" w:rsidP="007B00EC">
      <w:pPr>
        <w:rPr>
          <w:rFonts w:ascii="Calibri" w:hAnsi="Calibri"/>
          <w:bCs/>
          <w:sz w:val="36"/>
          <w:szCs w:val="36"/>
        </w:rPr>
      </w:pPr>
      <w:r>
        <w:rPr>
          <w:rFonts w:ascii="Calibri" w:hAnsi="Calibri"/>
          <w:bCs/>
          <w:sz w:val="36"/>
          <w:szCs w:val="36"/>
        </w:rPr>
        <w:t>The proposed Bylaws language appropriately acknowledges ICANN’s human rights obligations within its limited scope and mission. Recognizing the complexity of the issue, the NCUC supports inclusion of human right</w:t>
      </w:r>
      <w:r w:rsidR="00AD64FD">
        <w:rPr>
          <w:rFonts w:ascii="Calibri" w:hAnsi="Calibri"/>
          <w:bCs/>
          <w:sz w:val="36"/>
          <w:szCs w:val="36"/>
        </w:rPr>
        <w:t xml:space="preserve"> as a work stream 2 issue along with the suggested interim bylaw which will ensure the recommended topics for investigation are appropriately considered and actioned upon.</w:t>
      </w:r>
    </w:p>
    <w:p w14:paraId="6DF545AC" w14:textId="77777777" w:rsidR="00A112B9" w:rsidRDefault="00A112B9" w:rsidP="007B00EC">
      <w:pPr>
        <w:rPr>
          <w:rFonts w:ascii="Calibri" w:hAnsi="Calibri"/>
          <w:bCs/>
          <w:sz w:val="36"/>
          <w:szCs w:val="36"/>
        </w:rPr>
      </w:pPr>
    </w:p>
    <w:p w14:paraId="757EC21B" w14:textId="77777777" w:rsidR="00A112B9" w:rsidRPr="00A112B9" w:rsidRDefault="00A112B9" w:rsidP="00A112B9">
      <w:pPr>
        <w:rPr>
          <w:rFonts w:ascii="Calibri" w:hAnsi="Calibri"/>
          <w:b/>
          <w:bCs/>
          <w:sz w:val="36"/>
          <w:szCs w:val="36"/>
        </w:rPr>
      </w:pPr>
      <w:r>
        <w:rPr>
          <w:rFonts w:ascii="Calibri" w:hAnsi="Calibri"/>
          <w:b/>
          <w:bCs/>
          <w:sz w:val="36"/>
          <w:szCs w:val="36"/>
        </w:rPr>
        <w:t xml:space="preserve">Recommendation Seven: </w:t>
      </w:r>
      <w:r w:rsidRPr="00A112B9">
        <w:rPr>
          <w:rFonts w:ascii="Calibri" w:hAnsi="Calibri"/>
          <w:b/>
          <w:bCs/>
          <w:sz w:val="36"/>
          <w:szCs w:val="36"/>
        </w:rPr>
        <w:t>Strengthening ICANN's Independent Review Process</w:t>
      </w:r>
    </w:p>
    <w:p w14:paraId="1AE971EF" w14:textId="77777777" w:rsidR="00A112B9" w:rsidRPr="00A112B9" w:rsidRDefault="00A112B9" w:rsidP="007B00EC">
      <w:pPr>
        <w:rPr>
          <w:rFonts w:ascii="Calibri" w:hAnsi="Calibri"/>
          <w:b/>
          <w:bCs/>
          <w:sz w:val="36"/>
          <w:szCs w:val="36"/>
        </w:rPr>
      </w:pPr>
    </w:p>
    <w:p w14:paraId="08C49580" w14:textId="77777777" w:rsidR="00A112B9" w:rsidRDefault="00A112B9" w:rsidP="007B00EC">
      <w:pPr>
        <w:rPr>
          <w:rFonts w:ascii="Calibri" w:hAnsi="Calibri"/>
          <w:sz w:val="36"/>
          <w:szCs w:val="36"/>
        </w:rPr>
      </w:pPr>
      <w:r>
        <w:rPr>
          <w:rFonts w:ascii="Calibri" w:hAnsi="Calibri"/>
          <w:sz w:val="36"/>
          <w:szCs w:val="36"/>
        </w:rPr>
        <w:t>The NCUC supports this recommendation.</w:t>
      </w:r>
    </w:p>
    <w:p w14:paraId="78A80166" w14:textId="77777777" w:rsidR="00A112B9" w:rsidRDefault="00A112B9" w:rsidP="007B00EC">
      <w:pPr>
        <w:rPr>
          <w:rFonts w:ascii="Calibri" w:hAnsi="Calibri"/>
          <w:sz w:val="36"/>
          <w:szCs w:val="36"/>
        </w:rPr>
      </w:pPr>
    </w:p>
    <w:p w14:paraId="604AA535" w14:textId="77777777" w:rsidR="00A112B9" w:rsidRDefault="00A112B9" w:rsidP="00A112B9">
      <w:pPr>
        <w:rPr>
          <w:rFonts w:ascii="Calibri" w:hAnsi="Calibri"/>
          <w:sz w:val="36"/>
          <w:szCs w:val="36"/>
        </w:rPr>
      </w:pPr>
      <w:r>
        <w:rPr>
          <w:rFonts w:ascii="Calibri" w:hAnsi="Calibri"/>
          <w:sz w:val="36"/>
          <w:szCs w:val="36"/>
        </w:rPr>
        <w:t>Our principle concerns with the proposed Independent Review Process (IRP) reform</w:t>
      </w:r>
      <w:r w:rsidR="00F302A8">
        <w:rPr>
          <w:rFonts w:ascii="Calibri" w:hAnsi="Calibri"/>
          <w:sz w:val="36"/>
          <w:szCs w:val="36"/>
        </w:rPr>
        <w:t xml:space="preserve"> are issues related to access, </w:t>
      </w:r>
      <w:r>
        <w:rPr>
          <w:rFonts w:ascii="Calibri" w:hAnsi="Calibri"/>
          <w:sz w:val="36"/>
          <w:szCs w:val="36"/>
        </w:rPr>
        <w:t>impartiality and diversity. To address these issues the NCUC recommends:</w:t>
      </w:r>
    </w:p>
    <w:p w14:paraId="2AB0C589" w14:textId="77777777" w:rsidR="00093B83" w:rsidRDefault="00093B83" w:rsidP="004F223E">
      <w:pPr>
        <w:rPr>
          <w:rFonts w:ascii="Calibri" w:hAnsi="Calibri"/>
          <w:sz w:val="36"/>
          <w:szCs w:val="36"/>
        </w:rPr>
      </w:pPr>
    </w:p>
    <w:p w14:paraId="5A96E618" w14:textId="77777777" w:rsidR="00A112B9" w:rsidRDefault="00A112B9" w:rsidP="004F223E">
      <w:pPr>
        <w:rPr>
          <w:rFonts w:ascii="Calibri" w:hAnsi="Calibri"/>
          <w:sz w:val="36"/>
          <w:szCs w:val="36"/>
        </w:rPr>
      </w:pPr>
      <w:r>
        <w:rPr>
          <w:rFonts w:ascii="Calibri" w:hAnsi="Calibri"/>
          <w:sz w:val="36"/>
          <w:szCs w:val="36"/>
        </w:rPr>
        <w:t>1. To ensure the IRP is accessible to all</w:t>
      </w:r>
      <w:r w:rsidR="00F302A8">
        <w:rPr>
          <w:rFonts w:ascii="Calibri" w:hAnsi="Calibri"/>
          <w:sz w:val="36"/>
          <w:szCs w:val="36"/>
        </w:rPr>
        <w:t>,</w:t>
      </w:r>
      <w:r>
        <w:rPr>
          <w:rFonts w:ascii="Calibri" w:hAnsi="Calibri"/>
          <w:sz w:val="36"/>
          <w:szCs w:val="36"/>
        </w:rPr>
        <w:t xml:space="preserve"> the NCUC </w:t>
      </w:r>
      <w:r w:rsidR="00F302A8">
        <w:rPr>
          <w:rFonts w:ascii="Calibri" w:hAnsi="Calibri"/>
          <w:sz w:val="36"/>
          <w:szCs w:val="36"/>
        </w:rPr>
        <w:t xml:space="preserve">requests </w:t>
      </w:r>
      <w:r>
        <w:rPr>
          <w:rFonts w:ascii="Calibri" w:hAnsi="Calibri"/>
          <w:sz w:val="36"/>
          <w:szCs w:val="36"/>
        </w:rPr>
        <w:t xml:space="preserve">that the proposed pro bono representation program be prioritized and made operational </w:t>
      </w:r>
      <w:r w:rsidR="00F302A8">
        <w:rPr>
          <w:rFonts w:ascii="Calibri" w:hAnsi="Calibri"/>
          <w:sz w:val="36"/>
          <w:szCs w:val="36"/>
        </w:rPr>
        <w:t>at the start of the new IRP process. We also oppose any form of “loser pay” system as the mere threat of future costs may deter less well resourced individuals or organizations from pursuing valid claims. The Community Independent Review Process, in which ICANN bears all costs, should be made available to all recognized organizational units within the ICANN community</w:t>
      </w:r>
      <w:r w:rsidR="00714A6B">
        <w:rPr>
          <w:rFonts w:ascii="Calibri" w:hAnsi="Calibri"/>
          <w:sz w:val="36"/>
          <w:szCs w:val="36"/>
        </w:rPr>
        <w:t>,</w:t>
      </w:r>
      <w:r w:rsidR="00F302A8">
        <w:rPr>
          <w:rFonts w:ascii="Calibri" w:hAnsi="Calibri"/>
          <w:sz w:val="36"/>
          <w:szCs w:val="36"/>
        </w:rPr>
        <w:t xml:space="preserve"> and not just the Community Mechanism or member SO/AC’s.</w:t>
      </w:r>
    </w:p>
    <w:p w14:paraId="6A0611F0" w14:textId="77777777" w:rsidR="00F302A8" w:rsidRDefault="00F302A8" w:rsidP="004F223E">
      <w:pPr>
        <w:rPr>
          <w:rFonts w:ascii="Calibri" w:hAnsi="Calibri"/>
          <w:sz w:val="36"/>
          <w:szCs w:val="36"/>
        </w:rPr>
      </w:pPr>
    </w:p>
    <w:p w14:paraId="05EB219F" w14:textId="77777777" w:rsidR="00F302A8" w:rsidRDefault="00F302A8" w:rsidP="004F223E">
      <w:pPr>
        <w:rPr>
          <w:rFonts w:ascii="Calibri" w:hAnsi="Calibri"/>
          <w:sz w:val="36"/>
          <w:szCs w:val="36"/>
        </w:rPr>
      </w:pPr>
      <w:r>
        <w:rPr>
          <w:rFonts w:ascii="Calibri" w:hAnsi="Calibri"/>
          <w:sz w:val="36"/>
          <w:szCs w:val="36"/>
        </w:rPr>
        <w:t xml:space="preserve">2. To ensure greater diversity of both panelists and appellants a language associated with civil law jurisdictions, most practically French, </w:t>
      </w:r>
      <w:r w:rsidR="00714A6B">
        <w:rPr>
          <w:rFonts w:ascii="Calibri" w:hAnsi="Calibri"/>
          <w:sz w:val="36"/>
          <w:szCs w:val="36"/>
        </w:rPr>
        <w:t>alongside English be made</w:t>
      </w:r>
      <w:r>
        <w:rPr>
          <w:rFonts w:ascii="Calibri" w:hAnsi="Calibri"/>
          <w:sz w:val="36"/>
          <w:szCs w:val="36"/>
        </w:rPr>
        <w:t xml:space="preserve"> an official language in IRP proceedings,</w:t>
      </w:r>
    </w:p>
    <w:p w14:paraId="287586C9" w14:textId="77777777" w:rsidR="00F302A8" w:rsidRDefault="00F302A8" w:rsidP="004F223E">
      <w:pPr>
        <w:rPr>
          <w:rFonts w:ascii="Calibri" w:hAnsi="Calibri"/>
          <w:sz w:val="36"/>
          <w:szCs w:val="36"/>
        </w:rPr>
      </w:pPr>
    </w:p>
    <w:p w14:paraId="3FC0A56F" w14:textId="77777777" w:rsidR="00F302A8" w:rsidRDefault="00F302A8" w:rsidP="004F223E">
      <w:pPr>
        <w:rPr>
          <w:rFonts w:ascii="Calibri" w:hAnsi="Calibri"/>
          <w:sz w:val="36"/>
          <w:szCs w:val="36"/>
        </w:rPr>
      </w:pPr>
      <w:r>
        <w:rPr>
          <w:rFonts w:ascii="Calibri" w:hAnsi="Calibri"/>
          <w:sz w:val="36"/>
          <w:szCs w:val="36"/>
        </w:rPr>
        <w:t>3. To ensure impartiality, panelist training should be a collaborative process between the community and ICANN.</w:t>
      </w:r>
    </w:p>
    <w:p w14:paraId="5C977A0D" w14:textId="77777777" w:rsidR="00F302A8" w:rsidRDefault="00F302A8" w:rsidP="004F223E">
      <w:pPr>
        <w:rPr>
          <w:rFonts w:ascii="Calibri" w:hAnsi="Calibri"/>
          <w:sz w:val="36"/>
          <w:szCs w:val="36"/>
        </w:rPr>
      </w:pPr>
    </w:p>
    <w:p w14:paraId="3A321FB0" w14:textId="77777777" w:rsidR="00F302A8" w:rsidRDefault="00F302A8" w:rsidP="004F223E">
      <w:pPr>
        <w:rPr>
          <w:rFonts w:ascii="Calibri" w:hAnsi="Calibri"/>
          <w:sz w:val="36"/>
          <w:szCs w:val="36"/>
        </w:rPr>
      </w:pPr>
      <w:r>
        <w:rPr>
          <w:rFonts w:ascii="Calibri" w:hAnsi="Calibri"/>
          <w:sz w:val="36"/>
          <w:szCs w:val="36"/>
        </w:rPr>
        <w:t xml:space="preserve">We support a complete review of the Cooperative Engagement Process (CEP) in Work Stream 2. As an interim measure, the NCUC requests </w:t>
      </w:r>
      <w:r w:rsidR="00714A6B">
        <w:rPr>
          <w:rFonts w:ascii="Calibri" w:hAnsi="Calibri"/>
          <w:sz w:val="36"/>
          <w:szCs w:val="36"/>
        </w:rPr>
        <w:t xml:space="preserve">that, effective immediately, at the request of the appellee all CEP proceedings shall be conducted in an open and transparent manner, with recordings and transcripts made publicly available following the proceeding. </w:t>
      </w:r>
    </w:p>
    <w:p w14:paraId="2FF66A0C" w14:textId="77777777" w:rsidR="00714A6B" w:rsidRDefault="00714A6B" w:rsidP="004F223E">
      <w:pPr>
        <w:rPr>
          <w:rFonts w:ascii="Calibri" w:hAnsi="Calibri"/>
          <w:sz w:val="36"/>
          <w:szCs w:val="36"/>
        </w:rPr>
      </w:pPr>
    </w:p>
    <w:p w14:paraId="1B4F104D" w14:textId="77777777" w:rsidR="00714A6B" w:rsidRDefault="00714A6B" w:rsidP="00714A6B">
      <w:pPr>
        <w:rPr>
          <w:rFonts w:ascii="Calibri" w:hAnsi="Calibri"/>
          <w:b/>
          <w:bCs/>
          <w:sz w:val="36"/>
          <w:szCs w:val="36"/>
        </w:rPr>
      </w:pPr>
      <w:r>
        <w:rPr>
          <w:rFonts w:ascii="Calibri" w:hAnsi="Calibri"/>
          <w:b/>
          <w:sz w:val="36"/>
          <w:szCs w:val="36"/>
        </w:rPr>
        <w:t>Recommendation</w:t>
      </w:r>
      <w:r w:rsidR="0030470E">
        <w:rPr>
          <w:rFonts w:ascii="Calibri" w:hAnsi="Calibri"/>
          <w:b/>
          <w:sz w:val="36"/>
          <w:szCs w:val="36"/>
        </w:rPr>
        <w:t xml:space="preserve"> Eight</w:t>
      </w:r>
      <w:r>
        <w:rPr>
          <w:rFonts w:ascii="Calibri" w:hAnsi="Calibri"/>
          <w:b/>
          <w:sz w:val="36"/>
          <w:szCs w:val="36"/>
        </w:rPr>
        <w:t xml:space="preserve"> : </w:t>
      </w:r>
      <w:r w:rsidRPr="00714A6B">
        <w:rPr>
          <w:rFonts w:ascii="Calibri" w:hAnsi="Calibri"/>
          <w:b/>
          <w:bCs/>
          <w:sz w:val="36"/>
          <w:szCs w:val="36"/>
        </w:rPr>
        <w:t>Fortifying ICANN's Request for Reconsideration Process</w:t>
      </w:r>
    </w:p>
    <w:p w14:paraId="43310774" w14:textId="77777777" w:rsidR="00714A6B" w:rsidRDefault="00714A6B" w:rsidP="00714A6B">
      <w:pPr>
        <w:rPr>
          <w:rFonts w:ascii="Calibri" w:hAnsi="Calibri"/>
          <w:b/>
          <w:bCs/>
          <w:sz w:val="36"/>
          <w:szCs w:val="36"/>
        </w:rPr>
      </w:pPr>
    </w:p>
    <w:p w14:paraId="4AF7D0CB" w14:textId="09DD9684" w:rsidR="00714A6B" w:rsidRDefault="00714A6B" w:rsidP="00714A6B">
      <w:pPr>
        <w:rPr>
          <w:rFonts w:ascii="Calibri" w:hAnsi="Calibri"/>
          <w:bCs/>
          <w:sz w:val="36"/>
          <w:szCs w:val="36"/>
        </w:rPr>
      </w:pPr>
      <w:r>
        <w:rPr>
          <w:rFonts w:ascii="Calibri" w:hAnsi="Calibri"/>
          <w:bCs/>
          <w:sz w:val="36"/>
          <w:szCs w:val="36"/>
        </w:rPr>
        <w:t>The NCUC supports this recommendation.</w:t>
      </w:r>
    </w:p>
    <w:p w14:paraId="2011EBEB" w14:textId="77777777" w:rsidR="00714A6B" w:rsidRDefault="00714A6B" w:rsidP="00714A6B">
      <w:pPr>
        <w:rPr>
          <w:rFonts w:ascii="Calibri" w:hAnsi="Calibri"/>
          <w:bCs/>
          <w:sz w:val="36"/>
          <w:szCs w:val="36"/>
        </w:rPr>
      </w:pPr>
    </w:p>
    <w:p w14:paraId="6A94469F" w14:textId="77777777" w:rsidR="0030470E" w:rsidRDefault="00714A6B" w:rsidP="00714A6B">
      <w:pPr>
        <w:rPr>
          <w:rFonts w:ascii="Calibri" w:hAnsi="Calibri"/>
          <w:bCs/>
          <w:sz w:val="36"/>
          <w:szCs w:val="36"/>
        </w:rPr>
      </w:pPr>
      <w:r>
        <w:rPr>
          <w:rFonts w:ascii="Calibri" w:hAnsi="Calibri"/>
          <w:bCs/>
          <w:sz w:val="36"/>
          <w:szCs w:val="36"/>
        </w:rPr>
        <w:t xml:space="preserve">We fully support extending both the scope of the Reconsideration Process and extending the time frame Requesters are allowed to file an action. </w:t>
      </w:r>
      <w:r w:rsidR="0030470E">
        <w:rPr>
          <w:rFonts w:ascii="Calibri" w:hAnsi="Calibri"/>
          <w:bCs/>
          <w:sz w:val="36"/>
          <w:szCs w:val="36"/>
        </w:rPr>
        <w:t>We support involving the entire Board in the Reconsideration Process, as opposed to the current practice of having a small Board subcommittee rule on the Requests. ICANN’s legal department needs to be removed from the Process as it has an inherent conflict of interest in the proceedings. We propose having a neutral third party, possibly the Ombudsman, provide an initial assessment to the Board as to the merit of any and all Reconsideration Requests.</w:t>
      </w:r>
    </w:p>
    <w:p w14:paraId="55664110" w14:textId="77777777" w:rsidR="0030470E" w:rsidRDefault="0030470E" w:rsidP="00714A6B">
      <w:pPr>
        <w:rPr>
          <w:rFonts w:ascii="Calibri" w:hAnsi="Calibri"/>
          <w:bCs/>
          <w:sz w:val="36"/>
          <w:szCs w:val="36"/>
        </w:rPr>
      </w:pPr>
    </w:p>
    <w:p w14:paraId="4EDAF3F4" w14:textId="77777777" w:rsidR="0030470E" w:rsidRDefault="0030470E" w:rsidP="00714A6B">
      <w:pPr>
        <w:rPr>
          <w:rFonts w:ascii="Calibri" w:hAnsi="Calibri"/>
          <w:bCs/>
          <w:sz w:val="36"/>
          <w:szCs w:val="36"/>
        </w:rPr>
      </w:pPr>
      <w:r>
        <w:rPr>
          <w:rFonts w:ascii="Calibri" w:hAnsi="Calibri"/>
          <w:bCs/>
          <w:sz w:val="36"/>
          <w:szCs w:val="36"/>
        </w:rPr>
        <w:t>The recommendations should also make clear that actions and actions of the PTI (including timing) are included within the scope of Reconsideration Process.</w:t>
      </w:r>
    </w:p>
    <w:p w14:paraId="40CDBC1F" w14:textId="77777777" w:rsidR="006A715B" w:rsidRDefault="006A715B" w:rsidP="00714A6B">
      <w:pPr>
        <w:rPr>
          <w:rFonts w:ascii="Calibri" w:hAnsi="Calibri"/>
          <w:bCs/>
          <w:sz w:val="36"/>
          <w:szCs w:val="36"/>
        </w:rPr>
      </w:pPr>
    </w:p>
    <w:p w14:paraId="2FB6BAFE" w14:textId="77777777" w:rsidR="0030470E" w:rsidRDefault="0030470E" w:rsidP="00714A6B">
      <w:pPr>
        <w:rPr>
          <w:rFonts w:ascii="Calibri" w:hAnsi="Calibri"/>
          <w:bCs/>
          <w:sz w:val="36"/>
          <w:szCs w:val="36"/>
        </w:rPr>
      </w:pPr>
    </w:p>
    <w:p w14:paraId="103071ED" w14:textId="77777777" w:rsidR="00714A6B" w:rsidRDefault="00FF588C" w:rsidP="00714A6B">
      <w:pPr>
        <w:rPr>
          <w:rFonts w:ascii="Calibri" w:hAnsi="Calibri"/>
          <w:b/>
          <w:bCs/>
          <w:sz w:val="36"/>
          <w:szCs w:val="36"/>
        </w:rPr>
      </w:pPr>
      <w:r>
        <w:rPr>
          <w:rFonts w:ascii="Calibri" w:hAnsi="Calibri"/>
          <w:b/>
          <w:bCs/>
          <w:sz w:val="36"/>
          <w:szCs w:val="36"/>
        </w:rPr>
        <w:t>Recommendation Nine: Incorporation of the Affirmation of Commitments</w:t>
      </w:r>
    </w:p>
    <w:p w14:paraId="2D8F47CC" w14:textId="77777777" w:rsidR="00FF588C" w:rsidRDefault="00FF588C" w:rsidP="00714A6B">
      <w:pPr>
        <w:rPr>
          <w:rFonts w:ascii="Calibri" w:hAnsi="Calibri"/>
          <w:b/>
          <w:bCs/>
          <w:sz w:val="36"/>
          <w:szCs w:val="36"/>
        </w:rPr>
      </w:pPr>
    </w:p>
    <w:p w14:paraId="6CC22783" w14:textId="77777777" w:rsidR="00FF588C" w:rsidRDefault="00FF588C" w:rsidP="00714A6B">
      <w:pPr>
        <w:rPr>
          <w:rFonts w:ascii="Calibri" w:hAnsi="Calibri"/>
          <w:bCs/>
          <w:sz w:val="36"/>
          <w:szCs w:val="36"/>
        </w:rPr>
      </w:pPr>
      <w:r>
        <w:rPr>
          <w:rFonts w:ascii="Calibri" w:hAnsi="Calibri"/>
          <w:bCs/>
          <w:sz w:val="36"/>
          <w:szCs w:val="36"/>
        </w:rPr>
        <w:t>The NCUC does not support all aspects of this recommendation.</w:t>
      </w:r>
    </w:p>
    <w:p w14:paraId="6F72B496" w14:textId="77777777" w:rsidR="00FF588C" w:rsidRDefault="00FF588C" w:rsidP="00714A6B">
      <w:pPr>
        <w:rPr>
          <w:rFonts w:ascii="Calibri" w:hAnsi="Calibri"/>
          <w:bCs/>
          <w:sz w:val="36"/>
          <w:szCs w:val="36"/>
        </w:rPr>
      </w:pPr>
    </w:p>
    <w:p w14:paraId="1E86E331" w14:textId="77777777" w:rsidR="00FF588C" w:rsidRDefault="00525043" w:rsidP="00714A6B">
      <w:pPr>
        <w:rPr>
          <w:rFonts w:ascii="Calibri" w:hAnsi="Calibri"/>
          <w:bCs/>
          <w:sz w:val="36"/>
          <w:szCs w:val="36"/>
        </w:rPr>
      </w:pPr>
      <w:r>
        <w:rPr>
          <w:rFonts w:ascii="Calibri" w:hAnsi="Calibri"/>
          <w:bCs/>
          <w:sz w:val="36"/>
          <w:szCs w:val="36"/>
        </w:rPr>
        <w:t xml:space="preserve">The Affirmations of Commitments were designed as part of the bilateral relationship between the United States government and ICANN. With the removal of American government oversight </w:t>
      </w:r>
      <w:r w:rsidR="00170929">
        <w:rPr>
          <w:rFonts w:ascii="Calibri" w:hAnsi="Calibri"/>
          <w:bCs/>
          <w:sz w:val="36"/>
          <w:szCs w:val="36"/>
        </w:rPr>
        <w:t>certain conditions applicable to the Affirmation of Commitments no longer exist.</w:t>
      </w:r>
    </w:p>
    <w:p w14:paraId="37C69CA7" w14:textId="77777777" w:rsidR="00170929" w:rsidRDefault="00170929" w:rsidP="00714A6B">
      <w:pPr>
        <w:rPr>
          <w:rFonts w:ascii="Calibri" w:hAnsi="Calibri"/>
          <w:bCs/>
          <w:sz w:val="36"/>
          <w:szCs w:val="36"/>
        </w:rPr>
      </w:pPr>
    </w:p>
    <w:p w14:paraId="597481F1" w14:textId="77777777" w:rsidR="00170929" w:rsidRDefault="00170929" w:rsidP="00714A6B">
      <w:pPr>
        <w:rPr>
          <w:rFonts w:ascii="Calibri" w:hAnsi="Calibri"/>
          <w:bCs/>
          <w:sz w:val="36"/>
          <w:szCs w:val="36"/>
        </w:rPr>
      </w:pPr>
      <w:r>
        <w:rPr>
          <w:rFonts w:ascii="Calibri" w:hAnsi="Calibri"/>
          <w:bCs/>
          <w:sz w:val="36"/>
          <w:szCs w:val="36"/>
        </w:rPr>
        <w:t>The NCUC applauds the achievements of the Accountability and Transparency Review Teams (ATRT) and support their continuation as being compatible with the CCWG’s mission and efforts. We do not support the continuation of the other AoC reviews.</w:t>
      </w:r>
    </w:p>
    <w:p w14:paraId="65A9DB22" w14:textId="77777777" w:rsidR="00170929" w:rsidRDefault="00170929" w:rsidP="00714A6B">
      <w:pPr>
        <w:rPr>
          <w:rFonts w:ascii="Calibri" w:hAnsi="Calibri"/>
          <w:bCs/>
          <w:sz w:val="36"/>
          <w:szCs w:val="36"/>
        </w:rPr>
      </w:pPr>
    </w:p>
    <w:p w14:paraId="75AC8F48" w14:textId="51149BA8" w:rsidR="0085612A" w:rsidRDefault="00170929" w:rsidP="00714A6B">
      <w:pPr>
        <w:rPr>
          <w:rFonts w:ascii="Calibri" w:hAnsi="Calibri"/>
          <w:bCs/>
          <w:sz w:val="36"/>
          <w:szCs w:val="36"/>
        </w:rPr>
      </w:pPr>
      <w:r>
        <w:rPr>
          <w:rFonts w:ascii="Calibri" w:hAnsi="Calibri"/>
          <w:bCs/>
          <w:sz w:val="36"/>
          <w:szCs w:val="36"/>
        </w:rPr>
        <w:t xml:space="preserve">By the nature of the parties who created it the AoC’s prioritize the interests of the American government and those interests </w:t>
      </w:r>
      <w:r w:rsidR="006A715B">
        <w:rPr>
          <w:rFonts w:ascii="Calibri" w:hAnsi="Calibri"/>
          <w:bCs/>
          <w:sz w:val="36"/>
          <w:szCs w:val="36"/>
        </w:rPr>
        <w:t xml:space="preserve">are </w:t>
      </w:r>
      <w:r>
        <w:rPr>
          <w:rFonts w:ascii="Calibri" w:hAnsi="Calibri"/>
          <w:bCs/>
          <w:sz w:val="36"/>
          <w:szCs w:val="36"/>
        </w:rPr>
        <w:t xml:space="preserve">best placed to influence it. For example, under the AoC  ICANN makes a commitment that  it would never make a substantial change in its approach to displaying  WHOIS information. </w:t>
      </w:r>
      <w:r w:rsidR="006A715B">
        <w:rPr>
          <w:rFonts w:ascii="Calibri" w:hAnsi="Calibri"/>
          <w:bCs/>
          <w:sz w:val="36"/>
          <w:szCs w:val="36"/>
        </w:rPr>
        <w:t>That sort of top down policy imposition is not compatible with the bottom up process that should define ICANN. As ICANN becomes a truly independent organization we believe it is the community working through its developed and open policy processes that should develop substantive policy</w:t>
      </w:r>
      <w:r w:rsidR="001A3DCD">
        <w:rPr>
          <w:rFonts w:ascii="Calibri" w:hAnsi="Calibri"/>
          <w:bCs/>
          <w:sz w:val="36"/>
          <w:szCs w:val="36"/>
        </w:rPr>
        <w:t xml:space="preserve">, </w:t>
      </w:r>
      <w:r w:rsidR="006A715B">
        <w:rPr>
          <w:rFonts w:ascii="Calibri" w:hAnsi="Calibri"/>
          <w:bCs/>
          <w:sz w:val="36"/>
          <w:szCs w:val="36"/>
        </w:rPr>
        <w:t xml:space="preserve">rather than have it to adhere to </w:t>
      </w:r>
      <w:r w:rsidR="001A3DCD">
        <w:rPr>
          <w:rFonts w:ascii="Calibri" w:hAnsi="Calibri"/>
          <w:bCs/>
          <w:sz w:val="36"/>
          <w:szCs w:val="36"/>
        </w:rPr>
        <w:t xml:space="preserve">substantive </w:t>
      </w:r>
      <w:r w:rsidR="006A715B">
        <w:rPr>
          <w:rFonts w:ascii="Calibri" w:hAnsi="Calibri"/>
          <w:bCs/>
          <w:sz w:val="36"/>
          <w:szCs w:val="36"/>
        </w:rPr>
        <w:t xml:space="preserve">policy commitments made to a government whose interests it is no longer subject to. </w:t>
      </w:r>
    </w:p>
    <w:p w14:paraId="39575D8D" w14:textId="77777777" w:rsidR="006A715B" w:rsidRDefault="006A715B" w:rsidP="00714A6B">
      <w:pPr>
        <w:rPr>
          <w:rFonts w:ascii="Calibri" w:hAnsi="Calibri"/>
          <w:bCs/>
          <w:sz w:val="36"/>
          <w:szCs w:val="36"/>
        </w:rPr>
      </w:pPr>
    </w:p>
    <w:p w14:paraId="67ACB3CD" w14:textId="77777777" w:rsidR="006A715B" w:rsidRDefault="006A715B" w:rsidP="006A715B">
      <w:pPr>
        <w:rPr>
          <w:rFonts w:ascii="Calibri" w:hAnsi="Calibri"/>
          <w:b/>
          <w:bCs/>
          <w:iCs/>
          <w:sz w:val="36"/>
          <w:szCs w:val="36"/>
        </w:rPr>
      </w:pPr>
      <w:r>
        <w:rPr>
          <w:rFonts w:ascii="Calibri" w:hAnsi="Calibri"/>
          <w:b/>
          <w:bCs/>
          <w:sz w:val="36"/>
          <w:szCs w:val="36"/>
        </w:rPr>
        <w:t xml:space="preserve">Recommendation ten: </w:t>
      </w:r>
      <w:r w:rsidRPr="006A715B">
        <w:rPr>
          <w:rFonts w:ascii="Calibri" w:hAnsi="Calibri"/>
          <w:b/>
          <w:bCs/>
          <w:iCs/>
          <w:sz w:val="36"/>
          <w:szCs w:val="36"/>
        </w:rPr>
        <w:t>Enhancing the accountability of Supporting Organizations and Advisory Committees</w:t>
      </w:r>
    </w:p>
    <w:p w14:paraId="677AA78C" w14:textId="77777777" w:rsidR="001A3DCD" w:rsidRDefault="001A3DCD" w:rsidP="006A715B">
      <w:pPr>
        <w:rPr>
          <w:rFonts w:ascii="Calibri" w:hAnsi="Calibri"/>
          <w:b/>
          <w:bCs/>
          <w:iCs/>
          <w:sz w:val="36"/>
          <w:szCs w:val="36"/>
        </w:rPr>
      </w:pPr>
    </w:p>
    <w:p w14:paraId="677A8B29" w14:textId="77777777" w:rsidR="001A3DCD" w:rsidRDefault="001A3DCD" w:rsidP="006A715B">
      <w:pPr>
        <w:rPr>
          <w:rFonts w:ascii="Calibri" w:hAnsi="Calibri"/>
          <w:bCs/>
          <w:iCs/>
          <w:sz w:val="36"/>
          <w:szCs w:val="36"/>
        </w:rPr>
      </w:pPr>
      <w:r>
        <w:rPr>
          <w:rFonts w:ascii="Calibri" w:hAnsi="Calibri"/>
          <w:bCs/>
          <w:iCs/>
          <w:sz w:val="36"/>
          <w:szCs w:val="36"/>
        </w:rPr>
        <w:t>The NCUC does not support this recommendation.</w:t>
      </w:r>
    </w:p>
    <w:p w14:paraId="633993E9" w14:textId="77777777" w:rsidR="001A3DCD" w:rsidRDefault="001A3DCD" w:rsidP="006A715B">
      <w:pPr>
        <w:rPr>
          <w:rFonts w:ascii="Calibri" w:hAnsi="Calibri"/>
          <w:bCs/>
          <w:iCs/>
          <w:sz w:val="36"/>
          <w:szCs w:val="36"/>
        </w:rPr>
      </w:pPr>
    </w:p>
    <w:p w14:paraId="32EC40B0" w14:textId="1D000346" w:rsidR="00D44771" w:rsidRDefault="001A3DCD" w:rsidP="006A715B">
      <w:pPr>
        <w:rPr>
          <w:rFonts w:ascii="Calibri" w:hAnsi="Calibri"/>
          <w:bCs/>
          <w:iCs/>
          <w:sz w:val="36"/>
          <w:szCs w:val="36"/>
        </w:rPr>
      </w:pPr>
      <w:r>
        <w:rPr>
          <w:rFonts w:ascii="Calibri" w:hAnsi="Calibri"/>
          <w:bCs/>
          <w:iCs/>
          <w:sz w:val="36"/>
          <w:szCs w:val="36"/>
        </w:rPr>
        <w:t>Recommendation 10 focuses on the accountability of the SO’s and AC’s. Much of it is vague and nonspecific, with the bulk of the work to be done in Work Stream 2. What i</w:t>
      </w:r>
      <w:r w:rsidR="00D44771">
        <w:rPr>
          <w:rFonts w:ascii="Calibri" w:hAnsi="Calibri"/>
          <w:bCs/>
          <w:iCs/>
          <w:sz w:val="36"/>
          <w:szCs w:val="36"/>
        </w:rPr>
        <w:t>s proposed</w:t>
      </w:r>
      <w:r>
        <w:rPr>
          <w:rFonts w:ascii="Calibri" w:hAnsi="Calibri"/>
          <w:bCs/>
          <w:iCs/>
          <w:sz w:val="36"/>
          <w:szCs w:val="36"/>
        </w:rPr>
        <w:t xml:space="preserve"> raises concerns</w:t>
      </w:r>
      <w:r w:rsidR="00D44771">
        <w:rPr>
          <w:rFonts w:ascii="Calibri" w:hAnsi="Calibri"/>
          <w:bCs/>
          <w:iCs/>
          <w:sz w:val="36"/>
          <w:szCs w:val="36"/>
        </w:rPr>
        <w:t xml:space="preserve"> and is the reason we are unable to support recommendation 10 </w:t>
      </w:r>
      <w:r w:rsidR="0085612A">
        <w:rPr>
          <w:rFonts w:ascii="Calibri" w:hAnsi="Calibri"/>
          <w:bCs/>
          <w:iCs/>
          <w:sz w:val="36"/>
          <w:szCs w:val="36"/>
        </w:rPr>
        <w:t>as it is currently formulated</w:t>
      </w:r>
      <w:r w:rsidR="00D44771">
        <w:rPr>
          <w:rFonts w:ascii="Calibri" w:hAnsi="Calibri"/>
          <w:bCs/>
          <w:iCs/>
          <w:sz w:val="36"/>
          <w:szCs w:val="36"/>
        </w:rPr>
        <w:t>.</w:t>
      </w:r>
    </w:p>
    <w:p w14:paraId="2C7A811F" w14:textId="77777777" w:rsidR="00D44771" w:rsidRDefault="00D44771" w:rsidP="006A715B">
      <w:pPr>
        <w:rPr>
          <w:rFonts w:ascii="Calibri" w:hAnsi="Calibri"/>
          <w:bCs/>
          <w:iCs/>
          <w:sz w:val="36"/>
          <w:szCs w:val="36"/>
        </w:rPr>
      </w:pPr>
    </w:p>
    <w:p w14:paraId="72B84C4A" w14:textId="77777777" w:rsidR="00D708CD" w:rsidRDefault="00D44771" w:rsidP="00D708CD">
      <w:pPr>
        <w:rPr>
          <w:rFonts w:ascii="Calibri" w:hAnsi="Calibri"/>
          <w:bCs/>
          <w:iCs/>
          <w:sz w:val="36"/>
          <w:szCs w:val="36"/>
        </w:rPr>
      </w:pPr>
      <w:r>
        <w:rPr>
          <w:rFonts w:ascii="Calibri" w:hAnsi="Calibri"/>
          <w:bCs/>
          <w:iCs/>
          <w:sz w:val="36"/>
          <w:szCs w:val="36"/>
        </w:rPr>
        <w:t xml:space="preserve">The Proposal calls for periodic independent structural reviews of all SO/ACs. The NCUC supports this goal. </w:t>
      </w:r>
    </w:p>
    <w:p w14:paraId="23539E68" w14:textId="77777777" w:rsidR="00D708CD" w:rsidRDefault="00D708CD" w:rsidP="00D708CD">
      <w:pPr>
        <w:rPr>
          <w:rFonts w:ascii="Calibri" w:hAnsi="Calibri"/>
          <w:bCs/>
          <w:iCs/>
          <w:sz w:val="36"/>
          <w:szCs w:val="36"/>
        </w:rPr>
      </w:pPr>
    </w:p>
    <w:p w14:paraId="59F0C86E" w14:textId="77777777" w:rsidR="00D708CD" w:rsidRDefault="00D708CD" w:rsidP="00D708CD">
      <w:pPr>
        <w:rPr>
          <w:rFonts w:ascii="Calibri" w:hAnsi="Calibri"/>
          <w:bCs/>
          <w:iCs/>
          <w:sz w:val="36"/>
          <w:szCs w:val="36"/>
        </w:rPr>
      </w:pPr>
      <w:r>
        <w:rPr>
          <w:rFonts w:ascii="Calibri" w:hAnsi="Calibri"/>
          <w:bCs/>
          <w:iCs/>
          <w:sz w:val="36"/>
          <w:szCs w:val="36"/>
        </w:rPr>
        <w:t>To implement this section the Recommendation suggests amending Article IV(4) of ICANN’s Bylaws. Article IV(4) states that the Board “</w:t>
      </w:r>
      <w:r w:rsidRPr="00D708CD">
        <w:rPr>
          <w:rFonts w:ascii="Calibri" w:hAnsi="Calibri"/>
          <w:bCs/>
          <w:iCs/>
          <w:sz w:val="36"/>
          <w:szCs w:val="36"/>
        </w:rPr>
        <w:t>shall cause a periodic review of the performance and operation of each Supporting Organization”</w:t>
      </w:r>
      <w:r>
        <w:rPr>
          <w:rFonts w:ascii="Calibri" w:hAnsi="Calibri"/>
          <w:bCs/>
          <w:iCs/>
          <w:sz w:val="36"/>
          <w:szCs w:val="36"/>
        </w:rPr>
        <w:t>. We find this unacceptable.</w:t>
      </w:r>
    </w:p>
    <w:p w14:paraId="05461D33" w14:textId="77777777" w:rsidR="00D708CD" w:rsidRDefault="00D708CD" w:rsidP="00D708CD">
      <w:pPr>
        <w:rPr>
          <w:rFonts w:ascii="Calibri" w:hAnsi="Calibri"/>
          <w:bCs/>
          <w:iCs/>
          <w:sz w:val="36"/>
          <w:szCs w:val="36"/>
        </w:rPr>
      </w:pPr>
      <w:r>
        <w:rPr>
          <w:rFonts w:ascii="Calibri" w:hAnsi="Calibri"/>
          <w:bCs/>
          <w:iCs/>
          <w:sz w:val="36"/>
          <w:szCs w:val="36"/>
        </w:rPr>
        <w:t xml:space="preserve">We do not wish to empower the ICANN Board to interfere in </w:t>
      </w:r>
      <w:r w:rsidR="00EE0096">
        <w:rPr>
          <w:rFonts w:ascii="Calibri" w:hAnsi="Calibri"/>
          <w:bCs/>
          <w:iCs/>
          <w:sz w:val="36"/>
          <w:szCs w:val="36"/>
        </w:rPr>
        <w:t>the governance structures of individual</w:t>
      </w:r>
      <w:r>
        <w:rPr>
          <w:rFonts w:ascii="Calibri" w:hAnsi="Calibri"/>
          <w:bCs/>
          <w:iCs/>
          <w:sz w:val="36"/>
          <w:szCs w:val="36"/>
        </w:rPr>
        <w:t xml:space="preserve"> SO/AC’s. Instead, we propose that the independent reviews should be done at the request of a majority of the SO/ACs and that any recommended changes occur only with the approval of the SO/AC’s acting through the Community Mechanism.</w:t>
      </w:r>
    </w:p>
    <w:p w14:paraId="6DDADCF4" w14:textId="77777777" w:rsidR="00EE0096" w:rsidRDefault="00EE0096" w:rsidP="00D708CD">
      <w:pPr>
        <w:rPr>
          <w:rFonts w:ascii="Calibri" w:hAnsi="Calibri"/>
          <w:bCs/>
          <w:iCs/>
          <w:sz w:val="36"/>
          <w:szCs w:val="36"/>
        </w:rPr>
      </w:pPr>
    </w:p>
    <w:p w14:paraId="005B7C06" w14:textId="77777777" w:rsidR="00EE0096" w:rsidRDefault="00EE0096" w:rsidP="00D708CD">
      <w:pPr>
        <w:rPr>
          <w:rFonts w:ascii="Calibri" w:hAnsi="Calibri"/>
          <w:bCs/>
          <w:iCs/>
          <w:sz w:val="36"/>
          <w:szCs w:val="36"/>
        </w:rPr>
      </w:pPr>
      <w:r>
        <w:rPr>
          <w:rFonts w:ascii="Calibri" w:hAnsi="Calibri"/>
          <w:bCs/>
          <w:iCs/>
          <w:sz w:val="36"/>
          <w:szCs w:val="36"/>
        </w:rPr>
        <w:t>Further, under Article IV of ICANN’s Bylaws the GAC is exempt from any such accountability review. Given the empowerment of the GAC in both recommendations 1 and 10 of this Proposal we suggest that this leaves a considerable gap in ICANN’s accountability regime. We propose that in view of its participation in the Community Mechanism the GAC should and must be subject to the same accountability reviews as the other SO/ACs.</w:t>
      </w:r>
    </w:p>
    <w:p w14:paraId="1EA467C8" w14:textId="77777777" w:rsidR="0085612A" w:rsidRDefault="0085612A" w:rsidP="00D708CD">
      <w:pPr>
        <w:rPr>
          <w:rFonts w:ascii="Calibri" w:hAnsi="Calibri"/>
          <w:bCs/>
          <w:iCs/>
          <w:sz w:val="36"/>
          <w:szCs w:val="36"/>
        </w:rPr>
      </w:pPr>
    </w:p>
    <w:p w14:paraId="185F77D6" w14:textId="68DEFFF0" w:rsidR="0085612A" w:rsidRPr="0085612A" w:rsidRDefault="0085612A" w:rsidP="0085612A">
      <w:pPr>
        <w:rPr>
          <w:rFonts w:ascii="Calibri" w:hAnsi="Calibri"/>
          <w:bCs/>
          <w:iCs/>
          <w:sz w:val="36"/>
          <w:szCs w:val="36"/>
        </w:rPr>
      </w:pPr>
      <w:r w:rsidRPr="0085612A">
        <w:rPr>
          <w:rFonts w:ascii="Calibri" w:hAnsi="Calibri"/>
          <w:bCs/>
          <w:iCs/>
          <w:sz w:val="36"/>
          <w:szCs w:val="36"/>
        </w:rPr>
        <w:t xml:space="preserve">Recognizing the relative complexity </w:t>
      </w:r>
      <w:r>
        <w:rPr>
          <w:rFonts w:ascii="Calibri" w:hAnsi="Calibri"/>
          <w:bCs/>
          <w:iCs/>
          <w:sz w:val="36"/>
          <w:szCs w:val="36"/>
        </w:rPr>
        <w:t xml:space="preserve">and sensitivity </w:t>
      </w:r>
      <w:r w:rsidRPr="0085612A">
        <w:rPr>
          <w:rFonts w:ascii="Calibri" w:hAnsi="Calibri"/>
          <w:bCs/>
          <w:iCs/>
          <w:sz w:val="36"/>
          <w:szCs w:val="36"/>
        </w:rPr>
        <w:t xml:space="preserve">of both of these </w:t>
      </w:r>
      <w:r>
        <w:rPr>
          <w:rFonts w:ascii="Calibri" w:hAnsi="Calibri"/>
          <w:bCs/>
          <w:iCs/>
          <w:sz w:val="36"/>
          <w:szCs w:val="36"/>
        </w:rPr>
        <w:t>matters</w:t>
      </w:r>
      <w:r w:rsidRPr="0085612A">
        <w:rPr>
          <w:rFonts w:ascii="Calibri" w:hAnsi="Calibri"/>
          <w:bCs/>
          <w:iCs/>
          <w:sz w:val="36"/>
          <w:szCs w:val="36"/>
        </w:rPr>
        <w:t xml:space="preserve"> the NCUC suggests that they be moved to work stream 2 for further consideration.</w:t>
      </w:r>
    </w:p>
    <w:p w14:paraId="242E1EC7" w14:textId="77777777" w:rsidR="0085612A" w:rsidRDefault="0085612A" w:rsidP="00D708CD">
      <w:pPr>
        <w:rPr>
          <w:rFonts w:ascii="Calibri" w:hAnsi="Calibri"/>
          <w:bCs/>
          <w:iCs/>
          <w:sz w:val="36"/>
          <w:szCs w:val="36"/>
        </w:rPr>
      </w:pPr>
    </w:p>
    <w:p w14:paraId="67E9E178" w14:textId="77777777" w:rsidR="0085612A" w:rsidRDefault="0085612A" w:rsidP="00D708CD">
      <w:pPr>
        <w:rPr>
          <w:rFonts w:ascii="Calibri" w:hAnsi="Calibri"/>
          <w:bCs/>
          <w:iCs/>
          <w:sz w:val="36"/>
          <w:szCs w:val="36"/>
        </w:rPr>
      </w:pPr>
    </w:p>
    <w:p w14:paraId="39C28D95" w14:textId="77777777" w:rsidR="00223C19" w:rsidRDefault="00223C19" w:rsidP="00D708CD">
      <w:pPr>
        <w:rPr>
          <w:rFonts w:ascii="Calibri" w:hAnsi="Calibri"/>
          <w:bCs/>
          <w:iCs/>
          <w:sz w:val="36"/>
          <w:szCs w:val="36"/>
        </w:rPr>
      </w:pPr>
    </w:p>
    <w:p w14:paraId="77BE6205" w14:textId="77777777" w:rsidR="00223C19" w:rsidRDefault="00223C19" w:rsidP="00D708CD">
      <w:pPr>
        <w:rPr>
          <w:rFonts w:ascii="Calibri" w:hAnsi="Calibri"/>
          <w:bCs/>
          <w:iCs/>
          <w:sz w:val="36"/>
          <w:szCs w:val="36"/>
        </w:rPr>
      </w:pPr>
    </w:p>
    <w:p w14:paraId="12CAE06A" w14:textId="431E56C9" w:rsidR="00717492" w:rsidRDefault="004C3DC7" w:rsidP="00717492">
      <w:pPr>
        <w:rPr>
          <w:rFonts w:ascii="Calibri" w:hAnsi="Calibri"/>
          <w:b/>
          <w:bCs/>
          <w:iCs/>
          <w:sz w:val="36"/>
          <w:szCs w:val="36"/>
        </w:rPr>
      </w:pPr>
      <w:r>
        <w:rPr>
          <w:rFonts w:ascii="Calibri" w:hAnsi="Calibri"/>
          <w:b/>
          <w:bCs/>
          <w:iCs/>
          <w:sz w:val="36"/>
          <w:szCs w:val="36"/>
        </w:rPr>
        <w:t>Recommendation eleven</w:t>
      </w:r>
      <w:r w:rsidR="00223C19">
        <w:rPr>
          <w:rFonts w:ascii="Calibri" w:hAnsi="Calibri"/>
          <w:b/>
          <w:bCs/>
          <w:iCs/>
          <w:sz w:val="36"/>
          <w:szCs w:val="36"/>
        </w:rPr>
        <w:t xml:space="preserve">: </w:t>
      </w:r>
      <w:r w:rsidR="00717492">
        <w:rPr>
          <w:rFonts w:ascii="Calibri" w:hAnsi="Calibri"/>
          <w:b/>
          <w:bCs/>
          <w:iCs/>
          <w:sz w:val="36"/>
          <w:szCs w:val="36"/>
        </w:rPr>
        <w:t xml:space="preserve"> Board Obligations with R</w:t>
      </w:r>
      <w:r w:rsidR="00717492" w:rsidRPr="00717492">
        <w:rPr>
          <w:rFonts w:ascii="Calibri" w:hAnsi="Calibri"/>
          <w:b/>
          <w:bCs/>
          <w:iCs/>
          <w:sz w:val="36"/>
          <w:szCs w:val="36"/>
        </w:rPr>
        <w:t>egards to Governmental Advisory Committee Advice (Stress Test 18)</w:t>
      </w:r>
    </w:p>
    <w:p w14:paraId="6A12F53A" w14:textId="77777777" w:rsidR="00717492" w:rsidRDefault="00717492" w:rsidP="00717492">
      <w:pPr>
        <w:rPr>
          <w:rFonts w:ascii="Calibri" w:hAnsi="Calibri"/>
          <w:b/>
          <w:bCs/>
          <w:iCs/>
          <w:sz w:val="36"/>
          <w:szCs w:val="36"/>
        </w:rPr>
      </w:pPr>
    </w:p>
    <w:p w14:paraId="5BB582A9" w14:textId="761A7759" w:rsidR="00717492" w:rsidRDefault="00717492" w:rsidP="00717492">
      <w:pPr>
        <w:rPr>
          <w:rFonts w:ascii="Calibri" w:hAnsi="Calibri"/>
          <w:bCs/>
          <w:iCs/>
          <w:sz w:val="36"/>
          <w:szCs w:val="36"/>
        </w:rPr>
      </w:pPr>
      <w:r>
        <w:rPr>
          <w:rFonts w:ascii="Calibri" w:hAnsi="Calibri"/>
          <w:bCs/>
          <w:iCs/>
          <w:sz w:val="36"/>
          <w:szCs w:val="36"/>
        </w:rPr>
        <w:t>The NCUC does not support this recommendation.</w:t>
      </w:r>
      <w:r w:rsidR="0085612A">
        <w:rPr>
          <w:rFonts w:ascii="Calibri" w:hAnsi="Calibri"/>
          <w:bCs/>
          <w:iCs/>
          <w:sz w:val="36"/>
          <w:szCs w:val="36"/>
        </w:rPr>
        <w:t xml:space="preserve"> </w:t>
      </w:r>
      <w:r>
        <w:rPr>
          <w:rFonts w:ascii="Calibri" w:hAnsi="Calibri"/>
          <w:bCs/>
          <w:iCs/>
          <w:sz w:val="36"/>
          <w:szCs w:val="36"/>
        </w:rPr>
        <w:t xml:space="preserve">The CCWG-Accountability was not formed with a goal of increasing the role and power of government in ICANN.  Yet the combined force of recommendations 1 and 11 do precisely that. </w:t>
      </w:r>
    </w:p>
    <w:p w14:paraId="14E3F456" w14:textId="77777777" w:rsidR="0085612A" w:rsidRDefault="0085612A" w:rsidP="00717492">
      <w:pPr>
        <w:rPr>
          <w:rFonts w:ascii="Calibri" w:hAnsi="Calibri"/>
          <w:bCs/>
          <w:iCs/>
          <w:sz w:val="36"/>
          <w:szCs w:val="36"/>
        </w:rPr>
      </w:pPr>
    </w:p>
    <w:p w14:paraId="08214B6E" w14:textId="1CBB6B8F" w:rsidR="0085612A" w:rsidRDefault="0085612A" w:rsidP="00717492">
      <w:pPr>
        <w:rPr>
          <w:rFonts w:ascii="Calibri" w:hAnsi="Calibri"/>
          <w:bCs/>
          <w:iCs/>
          <w:sz w:val="36"/>
          <w:szCs w:val="36"/>
        </w:rPr>
      </w:pPr>
      <w:r>
        <w:rPr>
          <w:rFonts w:ascii="Calibri" w:hAnsi="Calibri"/>
          <w:bCs/>
          <w:iCs/>
          <w:sz w:val="36"/>
          <w:szCs w:val="36"/>
        </w:rPr>
        <w:t xml:space="preserve">The NCUC strongly opposes raising the voting threshold for the Board </w:t>
      </w:r>
      <w:r w:rsidR="006A5B57">
        <w:rPr>
          <w:rFonts w:ascii="Calibri" w:hAnsi="Calibri"/>
          <w:bCs/>
          <w:iCs/>
          <w:sz w:val="36"/>
          <w:szCs w:val="36"/>
        </w:rPr>
        <w:t>to reject consensus GA</w:t>
      </w:r>
      <w:r>
        <w:rPr>
          <w:rFonts w:ascii="Calibri" w:hAnsi="Calibri"/>
          <w:bCs/>
          <w:iCs/>
          <w:sz w:val="36"/>
          <w:szCs w:val="36"/>
        </w:rPr>
        <w:t xml:space="preserve">C advice from its current simple majority to 2/3. </w:t>
      </w:r>
      <w:r w:rsidR="006A5B57">
        <w:rPr>
          <w:rFonts w:ascii="Calibri" w:hAnsi="Calibri"/>
          <w:bCs/>
          <w:iCs/>
          <w:sz w:val="36"/>
          <w:szCs w:val="36"/>
        </w:rPr>
        <w:t>We are also concerned that this change to the previous reference model was done in a straw poll of the attendees at a single CCWG call, rather than in a poll of CCWG members. We question the representative and balanced nature of attendees of that call and whether the change in voting threshold does represent the consensus view of the community.</w:t>
      </w:r>
    </w:p>
    <w:p w14:paraId="6D0664EB" w14:textId="77777777" w:rsidR="006A5B57" w:rsidRDefault="006A5B57" w:rsidP="00717492">
      <w:pPr>
        <w:rPr>
          <w:rFonts w:ascii="Calibri" w:hAnsi="Calibri"/>
          <w:bCs/>
          <w:iCs/>
          <w:sz w:val="36"/>
          <w:szCs w:val="36"/>
        </w:rPr>
      </w:pPr>
    </w:p>
    <w:p w14:paraId="121C52FB" w14:textId="12B3CD4F" w:rsidR="006A5B57" w:rsidRDefault="006A5B57" w:rsidP="00717492">
      <w:pPr>
        <w:rPr>
          <w:rFonts w:ascii="Calibri" w:hAnsi="Calibri"/>
          <w:bCs/>
          <w:iCs/>
          <w:sz w:val="36"/>
          <w:szCs w:val="36"/>
        </w:rPr>
      </w:pPr>
      <w:r>
        <w:rPr>
          <w:rFonts w:ascii="Calibri" w:hAnsi="Calibri"/>
          <w:bCs/>
          <w:iCs/>
          <w:sz w:val="36"/>
          <w:szCs w:val="36"/>
        </w:rPr>
        <w:t>The NCUC proposes that all GAC advise be required to be accompanied by a statement specifying the rationale behind the specific advice. We also request assurance that in the drafting of the applicable Bylaws that GAC advice will be limited to matters within ICANN’s narrow and limited scope (aka “picket fence</w:t>
      </w:r>
      <w:r w:rsidR="00081649">
        <w:rPr>
          <w:rFonts w:ascii="Calibri" w:hAnsi="Calibri"/>
          <w:bCs/>
          <w:iCs/>
          <w:sz w:val="36"/>
          <w:szCs w:val="36"/>
        </w:rPr>
        <w:t>”</w:t>
      </w:r>
      <w:r>
        <w:rPr>
          <w:rFonts w:ascii="Calibri" w:hAnsi="Calibri"/>
          <w:bCs/>
          <w:iCs/>
          <w:sz w:val="36"/>
          <w:szCs w:val="36"/>
        </w:rPr>
        <w:t xml:space="preserve">) and that the preferential </w:t>
      </w:r>
      <w:r w:rsidR="00081649">
        <w:rPr>
          <w:rFonts w:ascii="Calibri" w:hAnsi="Calibri"/>
          <w:bCs/>
          <w:iCs/>
          <w:sz w:val="36"/>
          <w:szCs w:val="36"/>
        </w:rPr>
        <w:t>treatment GAC advice is given does not cause or allow for ICANN to expand its mission or scope.</w:t>
      </w:r>
      <w:r>
        <w:rPr>
          <w:rFonts w:ascii="Calibri" w:hAnsi="Calibri"/>
          <w:bCs/>
          <w:iCs/>
          <w:sz w:val="36"/>
          <w:szCs w:val="36"/>
        </w:rPr>
        <w:t xml:space="preserve"> </w:t>
      </w:r>
      <w:r w:rsidR="00081649">
        <w:rPr>
          <w:rFonts w:ascii="Calibri" w:hAnsi="Calibri"/>
          <w:bCs/>
          <w:iCs/>
          <w:sz w:val="36"/>
          <w:szCs w:val="36"/>
        </w:rPr>
        <w:t>It also should be specified that the only GAC advice entitled to preferential treatment is that which is reached by full GAC consensus, defined as that advice with broad support and with the lack of any formal objection.</w:t>
      </w:r>
    </w:p>
    <w:p w14:paraId="45D5C6D5" w14:textId="77777777" w:rsidR="004665E1" w:rsidRDefault="004665E1" w:rsidP="00717492">
      <w:pPr>
        <w:rPr>
          <w:rFonts w:ascii="Calibri" w:hAnsi="Calibri"/>
          <w:bCs/>
          <w:iCs/>
          <w:sz w:val="36"/>
          <w:szCs w:val="36"/>
        </w:rPr>
      </w:pPr>
    </w:p>
    <w:p w14:paraId="3539BE9C" w14:textId="5DF32FCA" w:rsidR="004665E1" w:rsidRDefault="004C3DC7" w:rsidP="00717492">
      <w:pPr>
        <w:rPr>
          <w:rFonts w:ascii="Calibri" w:hAnsi="Calibri"/>
          <w:b/>
          <w:bCs/>
          <w:iCs/>
          <w:sz w:val="36"/>
          <w:szCs w:val="36"/>
        </w:rPr>
      </w:pPr>
      <w:r>
        <w:rPr>
          <w:rFonts w:ascii="Calibri" w:hAnsi="Calibri"/>
          <w:b/>
          <w:bCs/>
          <w:iCs/>
          <w:sz w:val="36"/>
          <w:szCs w:val="36"/>
        </w:rPr>
        <w:t>Recommendation twelve</w:t>
      </w:r>
      <w:r w:rsidR="004665E1">
        <w:rPr>
          <w:rFonts w:ascii="Calibri" w:hAnsi="Calibri"/>
          <w:b/>
          <w:bCs/>
          <w:iCs/>
          <w:sz w:val="36"/>
          <w:szCs w:val="36"/>
        </w:rPr>
        <w:t xml:space="preserve">: </w:t>
      </w:r>
      <w:r>
        <w:rPr>
          <w:rFonts w:ascii="Calibri" w:hAnsi="Calibri"/>
          <w:b/>
          <w:bCs/>
          <w:iCs/>
          <w:sz w:val="36"/>
          <w:szCs w:val="36"/>
        </w:rPr>
        <w:t>Committing to Further Accountability Work in Work Stream 2</w:t>
      </w:r>
    </w:p>
    <w:p w14:paraId="29679BF9" w14:textId="77777777" w:rsidR="004C3DC7" w:rsidRDefault="004C3DC7" w:rsidP="00717492">
      <w:pPr>
        <w:rPr>
          <w:rFonts w:ascii="Calibri" w:hAnsi="Calibri"/>
          <w:b/>
          <w:bCs/>
          <w:iCs/>
          <w:sz w:val="36"/>
          <w:szCs w:val="36"/>
        </w:rPr>
      </w:pPr>
    </w:p>
    <w:p w14:paraId="11A8DD8E" w14:textId="6D5F4BDF" w:rsidR="004C3DC7" w:rsidRDefault="004C3DC7" w:rsidP="00717492">
      <w:pPr>
        <w:rPr>
          <w:rFonts w:ascii="Calibri" w:hAnsi="Calibri"/>
          <w:bCs/>
          <w:iCs/>
          <w:sz w:val="36"/>
          <w:szCs w:val="36"/>
        </w:rPr>
      </w:pPr>
      <w:r>
        <w:rPr>
          <w:rFonts w:ascii="Calibri" w:hAnsi="Calibri"/>
          <w:bCs/>
          <w:iCs/>
          <w:sz w:val="36"/>
          <w:szCs w:val="36"/>
        </w:rPr>
        <w:t>The NCUC strongly supports this recommendation.</w:t>
      </w:r>
    </w:p>
    <w:p w14:paraId="164843D7" w14:textId="77777777" w:rsidR="004C3DC7" w:rsidRDefault="004C3DC7" w:rsidP="00717492">
      <w:pPr>
        <w:rPr>
          <w:rFonts w:ascii="Calibri" w:hAnsi="Calibri"/>
          <w:bCs/>
          <w:iCs/>
          <w:sz w:val="36"/>
          <w:szCs w:val="36"/>
        </w:rPr>
      </w:pPr>
    </w:p>
    <w:p w14:paraId="7BEE8FC3" w14:textId="29099E3B" w:rsidR="004C3DC7" w:rsidRDefault="004C3DC7" w:rsidP="00717492">
      <w:pPr>
        <w:rPr>
          <w:rFonts w:ascii="Calibri" w:hAnsi="Calibri"/>
          <w:bCs/>
          <w:iCs/>
          <w:sz w:val="36"/>
          <w:szCs w:val="36"/>
        </w:rPr>
      </w:pPr>
      <w:r>
        <w:rPr>
          <w:rFonts w:ascii="Calibri" w:hAnsi="Calibri"/>
          <w:bCs/>
          <w:iCs/>
          <w:sz w:val="36"/>
          <w:szCs w:val="36"/>
        </w:rPr>
        <w:t xml:space="preserve">Many issues that are of core concerns to the NCUC community are scheduled to be considered in Work Stream 2. Included among these are transparency, DIDP reform, government relations, diversity, jurisdiction, whistleblower policy and the role of the Ombudsman. These are high priority issues for our community and we are disappointed that more of them were not considered as part of work stream 1. </w:t>
      </w:r>
    </w:p>
    <w:p w14:paraId="7DF44863" w14:textId="77777777" w:rsidR="004C3DC7" w:rsidRDefault="004C3DC7" w:rsidP="00717492">
      <w:pPr>
        <w:rPr>
          <w:rFonts w:ascii="Calibri" w:hAnsi="Calibri"/>
          <w:bCs/>
          <w:iCs/>
          <w:sz w:val="36"/>
          <w:szCs w:val="36"/>
        </w:rPr>
      </w:pPr>
    </w:p>
    <w:p w14:paraId="1F8A0955" w14:textId="2E50F17A" w:rsidR="004C3DC7" w:rsidRDefault="004C3DC7" w:rsidP="00717492">
      <w:pPr>
        <w:rPr>
          <w:rFonts w:ascii="Calibri" w:hAnsi="Calibri"/>
          <w:bCs/>
          <w:iCs/>
          <w:sz w:val="36"/>
          <w:szCs w:val="36"/>
        </w:rPr>
      </w:pPr>
      <w:r>
        <w:rPr>
          <w:rFonts w:ascii="Calibri" w:hAnsi="Calibri"/>
          <w:bCs/>
          <w:iCs/>
          <w:sz w:val="36"/>
          <w:szCs w:val="36"/>
        </w:rPr>
        <w:t>To be effective in work stream 2 the CCWG needs to act proactively to ensure that:</w:t>
      </w:r>
    </w:p>
    <w:p w14:paraId="0D94D607" w14:textId="77777777" w:rsidR="004C3DC7" w:rsidRDefault="004C3DC7" w:rsidP="00717492">
      <w:pPr>
        <w:rPr>
          <w:rFonts w:ascii="Calibri" w:hAnsi="Calibri"/>
          <w:bCs/>
          <w:iCs/>
          <w:sz w:val="36"/>
          <w:szCs w:val="36"/>
        </w:rPr>
      </w:pPr>
    </w:p>
    <w:p w14:paraId="2F4C78A7" w14:textId="2ACE1C2D" w:rsidR="004C3DC7" w:rsidRDefault="004C3DC7" w:rsidP="00717492">
      <w:pPr>
        <w:rPr>
          <w:rFonts w:ascii="Calibri" w:hAnsi="Calibri"/>
          <w:bCs/>
          <w:iCs/>
          <w:sz w:val="36"/>
          <w:szCs w:val="36"/>
        </w:rPr>
      </w:pPr>
      <w:r>
        <w:rPr>
          <w:rFonts w:ascii="Calibri" w:hAnsi="Calibri"/>
          <w:bCs/>
          <w:iCs/>
          <w:sz w:val="36"/>
          <w:szCs w:val="36"/>
        </w:rPr>
        <w:t xml:space="preserve">1. </w:t>
      </w:r>
      <w:r w:rsidR="00E91545">
        <w:rPr>
          <w:rFonts w:ascii="Calibri" w:hAnsi="Calibri"/>
          <w:bCs/>
          <w:iCs/>
          <w:sz w:val="36"/>
          <w:szCs w:val="36"/>
        </w:rPr>
        <w:t>The CCWG is able to retain independent counsel in a manner similar to that provided to it in work stream 1. The issues in work stream 2 are no less important than those considered in work stream 1. Many, such as state specific privacy issues related to transparency and documentation, are highly legal in nature and will require the retention of high quality legal counsel. This is an absolute requirement.</w:t>
      </w:r>
    </w:p>
    <w:p w14:paraId="6CF91601" w14:textId="77777777" w:rsidR="00E91545" w:rsidRDefault="00E91545" w:rsidP="00717492">
      <w:pPr>
        <w:rPr>
          <w:rFonts w:ascii="Calibri" w:hAnsi="Calibri"/>
          <w:bCs/>
          <w:iCs/>
          <w:sz w:val="36"/>
          <w:szCs w:val="36"/>
        </w:rPr>
      </w:pPr>
    </w:p>
    <w:p w14:paraId="401BAEE8" w14:textId="7CB30D2F" w:rsidR="00E91545" w:rsidRDefault="00E91545" w:rsidP="00717492">
      <w:pPr>
        <w:rPr>
          <w:rFonts w:ascii="Calibri" w:hAnsi="Calibri"/>
          <w:bCs/>
          <w:iCs/>
          <w:sz w:val="36"/>
          <w:szCs w:val="36"/>
        </w:rPr>
      </w:pPr>
      <w:r>
        <w:rPr>
          <w:rFonts w:ascii="Calibri" w:hAnsi="Calibri"/>
          <w:bCs/>
          <w:iCs/>
          <w:sz w:val="36"/>
          <w:szCs w:val="36"/>
        </w:rPr>
        <w:t>2, The proposed interim Bylaw should be drafted in a manner that requires the Board to implement all recommendations, including changes to ICANN’s Bylaws, recommended by the CCWG, or successor working group(s), in work stream 2.</w:t>
      </w:r>
    </w:p>
    <w:p w14:paraId="5DAE244A" w14:textId="77777777" w:rsidR="00E91545" w:rsidRDefault="00E91545" w:rsidP="00717492">
      <w:pPr>
        <w:rPr>
          <w:rFonts w:ascii="Calibri" w:hAnsi="Calibri"/>
          <w:bCs/>
          <w:iCs/>
          <w:sz w:val="36"/>
          <w:szCs w:val="36"/>
        </w:rPr>
      </w:pPr>
    </w:p>
    <w:p w14:paraId="7C0DD043" w14:textId="2D7AB235" w:rsidR="00E91545" w:rsidRDefault="00E91545" w:rsidP="00717492">
      <w:pPr>
        <w:rPr>
          <w:rFonts w:ascii="Calibri" w:hAnsi="Calibri"/>
          <w:bCs/>
          <w:iCs/>
          <w:sz w:val="36"/>
          <w:szCs w:val="36"/>
        </w:rPr>
      </w:pPr>
      <w:r>
        <w:rPr>
          <w:rFonts w:ascii="Calibri" w:hAnsi="Calibri"/>
          <w:bCs/>
          <w:iCs/>
          <w:sz w:val="36"/>
          <w:szCs w:val="36"/>
        </w:rPr>
        <w:t>3. All work contained in the work stream 2 remit must</w:t>
      </w:r>
      <w:r w:rsidR="00020B57">
        <w:rPr>
          <w:rFonts w:ascii="Calibri" w:hAnsi="Calibri"/>
          <w:bCs/>
          <w:iCs/>
          <w:sz w:val="36"/>
          <w:szCs w:val="36"/>
        </w:rPr>
        <w:t xml:space="preserve"> be completed and approved by the Board no later than the end of 2016.</w:t>
      </w:r>
    </w:p>
    <w:p w14:paraId="663229CE" w14:textId="77777777" w:rsidR="00020B57" w:rsidRDefault="00020B57" w:rsidP="00717492">
      <w:pPr>
        <w:rPr>
          <w:rFonts w:ascii="Calibri" w:hAnsi="Calibri"/>
          <w:bCs/>
          <w:iCs/>
          <w:sz w:val="36"/>
          <w:szCs w:val="36"/>
        </w:rPr>
      </w:pPr>
    </w:p>
    <w:p w14:paraId="36F3AE11" w14:textId="661AB3A7" w:rsidR="005E1D43" w:rsidRDefault="00020B57" w:rsidP="00717492">
      <w:pPr>
        <w:rPr>
          <w:rFonts w:ascii="Calibri" w:hAnsi="Calibri"/>
          <w:bCs/>
          <w:iCs/>
          <w:sz w:val="36"/>
          <w:szCs w:val="36"/>
        </w:rPr>
      </w:pPr>
      <w:r>
        <w:rPr>
          <w:rFonts w:ascii="Calibri" w:hAnsi="Calibri"/>
          <w:bCs/>
          <w:iCs/>
          <w:sz w:val="36"/>
          <w:szCs w:val="36"/>
        </w:rPr>
        <w:t xml:space="preserve">The NCUC notes that there are several matters, such as review of the Cooperative Engagement Process (CEP), that are delegated to work stream 2 in other sections of this Proposal but are not listed as components of work stream 2 in recommendation 12.  We would suggest that the Final Report consolidate all such items in one place so </w:t>
      </w:r>
      <w:r w:rsidR="005E1D43">
        <w:rPr>
          <w:rFonts w:ascii="Calibri" w:hAnsi="Calibri"/>
          <w:bCs/>
          <w:iCs/>
          <w:sz w:val="36"/>
          <w:szCs w:val="36"/>
        </w:rPr>
        <w:t xml:space="preserve">that </w:t>
      </w:r>
      <w:r>
        <w:rPr>
          <w:rFonts w:ascii="Calibri" w:hAnsi="Calibri"/>
          <w:bCs/>
          <w:iCs/>
          <w:sz w:val="36"/>
          <w:szCs w:val="36"/>
        </w:rPr>
        <w:t>th</w:t>
      </w:r>
      <w:r w:rsidR="005E1D43">
        <w:rPr>
          <w:rFonts w:ascii="Calibri" w:hAnsi="Calibri"/>
          <w:bCs/>
          <w:iCs/>
          <w:sz w:val="36"/>
          <w:szCs w:val="36"/>
        </w:rPr>
        <w:t>e full extent of work stream 2 is more transparent and known as the CCWG requests the support of its chartering organizations.</w:t>
      </w:r>
    </w:p>
    <w:p w14:paraId="17AFD5D6" w14:textId="77777777" w:rsidR="005E1D43" w:rsidRDefault="005E1D43" w:rsidP="00717492">
      <w:pPr>
        <w:rPr>
          <w:rFonts w:ascii="Calibri" w:hAnsi="Calibri"/>
          <w:bCs/>
          <w:iCs/>
          <w:sz w:val="36"/>
          <w:szCs w:val="36"/>
        </w:rPr>
      </w:pPr>
    </w:p>
    <w:p w14:paraId="50B19D90" w14:textId="7829894A" w:rsidR="00D708CD" w:rsidRDefault="005E1D43" w:rsidP="00D708CD">
      <w:pPr>
        <w:rPr>
          <w:rFonts w:ascii="Calibri" w:hAnsi="Calibri"/>
          <w:bCs/>
          <w:iCs/>
          <w:sz w:val="36"/>
          <w:szCs w:val="36"/>
        </w:rPr>
      </w:pPr>
      <w:r>
        <w:rPr>
          <w:rFonts w:ascii="Calibri" w:hAnsi="Calibri"/>
          <w:bCs/>
          <w:iCs/>
          <w:sz w:val="36"/>
          <w:szCs w:val="36"/>
        </w:rPr>
        <w:t>We also note that</w:t>
      </w:r>
      <w:r w:rsidR="00020B57">
        <w:rPr>
          <w:rFonts w:ascii="Calibri" w:hAnsi="Calibri"/>
          <w:bCs/>
          <w:iCs/>
          <w:sz w:val="36"/>
          <w:szCs w:val="36"/>
        </w:rPr>
        <w:t xml:space="preserve"> </w:t>
      </w:r>
      <w:r>
        <w:rPr>
          <w:rFonts w:ascii="Calibri" w:hAnsi="Calibri"/>
          <w:bCs/>
          <w:iCs/>
          <w:sz w:val="36"/>
          <w:szCs w:val="36"/>
        </w:rPr>
        <w:t xml:space="preserve">one subgroup that has been assigned to work stream 2, that of the Office of the Ombudsman, has already been formed and activated. Although activity ceased when the topic was placed into work stream 2, we would suggest that the CCWG reactivate this group during the period following the submission of the Final Report to the chartering organizations. There is no good reason to wait until the Morocco meeting to commence work stream 2 work when such a group has already been formed and activity begun. </w:t>
      </w:r>
    </w:p>
    <w:p w14:paraId="6C705473" w14:textId="77777777" w:rsidR="005E1D43" w:rsidRDefault="005E1D43" w:rsidP="00D708CD">
      <w:pPr>
        <w:rPr>
          <w:rFonts w:ascii="Calibri" w:hAnsi="Calibri"/>
          <w:bCs/>
          <w:iCs/>
          <w:sz w:val="36"/>
          <w:szCs w:val="36"/>
        </w:rPr>
      </w:pPr>
    </w:p>
    <w:p w14:paraId="2C649E90" w14:textId="77777777" w:rsidR="005E1D43" w:rsidRDefault="005E1D43" w:rsidP="00D708CD">
      <w:pPr>
        <w:rPr>
          <w:rFonts w:ascii="Calibri" w:hAnsi="Calibri"/>
          <w:bCs/>
          <w:iCs/>
          <w:sz w:val="36"/>
          <w:szCs w:val="36"/>
        </w:rPr>
      </w:pPr>
    </w:p>
    <w:p w14:paraId="2B23CB9C" w14:textId="0FB04B7A" w:rsidR="005E1D43" w:rsidRDefault="005E1D43" w:rsidP="00D708CD">
      <w:pPr>
        <w:rPr>
          <w:rFonts w:ascii="Calibri" w:hAnsi="Calibri"/>
          <w:bCs/>
          <w:iCs/>
          <w:sz w:val="36"/>
          <w:szCs w:val="36"/>
        </w:rPr>
      </w:pPr>
      <w:r>
        <w:rPr>
          <w:rFonts w:ascii="Calibri" w:hAnsi="Calibri"/>
          <w:bCs/>
          <w:iCs/>
          <w:sz w:val="36"/>
          <w:szCs w:val="36"/>
        </w:rPr>
        <w:t>Submitted this 21</w:t>
      </w:r>
      <w:r w:rsidRPr="005E1D43">
        <w:rPr>
          <w:rFonts w:ascii="Calibri" w:hAnsi="Calibri"/>
          <w:bCs/>
          <w:iCs/>
          <w:sz w:val="36"/>
          <w:szCs w:val="36"/>
          <w:vertAlign w:val="superscript"/>
        </w:rPr>
        <w:t>st</w:t>
      </w:r>
      <w:r>
        <w:rPr>
          <w:rFonts w:ascii="Calibri" w:hAnsi="Calibri"/>
          <w:bCs/>
          <w:iCs/>
          <w:sz w:val="36"/>
          <w:szCs w:val="36"/>
        </w:rPr>
        <w:t xml:space="preserve"> day of December 2015</w:t>
      </w:r>
    </w:p>
    <w:p w14:paraId="63C8213F" w14:textId="77777777" w:rsidR="005E1D43" w:rsidRDefault="005E1D43" w:rsidP="00D708CD">
      <w:pPr>
        <w:rPr>
          <w:rFonts w:ascii="Calibri" w:hAnsi="Calibri"/>
          <w:bCs/>
          <w:iCs/>
          <w:sz w:val="36"/>
          <w:szCs w:val="36"/>
        </w:rPr>
      </w:pPr>
    </w:p>
    <w:p w14:paraId="794C35C6" w14:textId="77777777" w:rsidR="005E1D43" w:rsidRDefault="005E1D43" w:rsidP="00D708CD">
      <w:pPr>
        <w:rPr>
          <w:rFonts w:ascii="Calibri" w:hAnsi="Calibri"/>
          <w:bCs/>
          <w:iCs/>
          <w:sz w:val="36"/>
          <w:szCs w:val="36"/>
        </w:rPr>
      </w:pPr>
    </w:p>
    <w:p w14:paraId="7BB7DE71" w14:textId="638B2321" w:rsidR="005E1D43" w:rsidRDefault="005E1D43" w:rsidP="00D708CD">
      <w:pPr>
        <w:rPr>
          <w:rFonts w:ascii="Calibri" w:hAnsi="Calibri"/>
          <w:bCs/>
          <w:iCs/>
          <w:sz w:val="36"/>
          <w:szCs w:val="36"/>
        </w:rPr>
      </w:pPr>
      <w:r>
        <w:rPr>
          <w:rFonts w:ascii="Calibri" w:hAnsi="Calibri"/>
          <w:bCs/>
          <w:iCs/>
          <w:sz w:val="36"/>
          <w:szCs w:val="36"/>
        </w:rPr>
        <w:t>Rafik Dammak</w:t>
      </w:r>
    </w:p>
    <w:p w14:paraId="65936B60" w14:textId="17475DBC" w:rsidR="005E1D43" w:rsidRDefault="005E1D43" w:rsidP="00D708CD">
      <w:pPr>
        <w:rPr>
          <w:rFonts w:ascii="Calibri" w:hAnsi="Calibri"/>
          <w:bCs/>
          <w:iCs/>
          <w:sz w:val="36"/>
          <w:szCs w:val="36"/>
        </w:rPr>
      </w:pPr>
      <w:r>
        <w:rPr>
          <w:rFonts w:ascii="Calibri" w:hAnsi="Calibri"/>
          <w:bCs/>
          <w:iCs/>
          <w:sz w:val="36"/>
          <w:szCs w:val="36"/>
        </w:rPr>
        <w:t>Chair</w:t>
      </w:r>
    </w:p>
    <w:p w14:paraId="6BCFA059" w14:textId="2376CBCF" w:rsidR="005E1D43" w:rsidRDefault="005E1D43" w:rsidP="00D708CD">
      <w:pPr>
        <w:rPr>
          <w:rFonts w:ascii="Calibri" w:hAnsi="Calibri"/>
          <w:bCs/>
          <w:iCs/>
          <w:sz w:val="36"/>
          <w:szCs w:val="36"/>
        </w:rPr>
      </w:pPr>
      <w:r>
        <w:rPr>
          <w:rFonts w:ascii="Calibri" w:hAnsi="Calibri"/>
          <w:bCs/>
          <w:iCs/>
          <w:sz w:val="36"/>
          <w:szCs w:val="36"/>
        </w:rPr>
        <w:t>NonCommercial Users Constituency</w:t>
      </w:r>
    </w:p>
    <w:p w14:paraId="57DD9C72" w14:textId="77777777" w:rsidR="005E1D43" w:rsidRDefault="005E1D43" w:rsidP="00D708CD">
      <w:pPr>
        <w:rPr>
          <w:rFonts w:ascii="Calibri" w:hAnsi="Calibri"/>
          <w:bCs/>
          <w:iCs/>
          <w:sz w:val="36"/>
          <w:szCs w:val="36"/>
        </w:rPr>
      </w:pPr>
    </w:p>
    <w:p w14:paraId="48F67DAC" w14:textId="77777777" w:rsidR="00D708CD" w:rsidRDefault="00D708CD" w:rsidP="00D708CD">
      <w:pPr>
        <w:rPr>
          <w:rFonts w:ascii="Calibri" w:hAnsi="Calibri"/>
          <w:bCs/>
          <w:iCs/>
          <w:sz w:val="36"/>
          <w:szCs w:val="36"/>
        </w:rPr>
      </w:pPr>
    </w:p>
    <w:p w14:paraId="334007FA" w14:textId="77777777" w:rsidR="00D708CD" w:rsidRDefault="00D708CD" w:rsidP="00D708CD">
      <w:pPr>
        <w:rPr>
          <w:rFonts w:ascii="Calibri" w:hAnsi="Calibri"/>
          <w:bCs/>
          <w:iCs/>
          <w:sz w:val="36"/>
          <w:szCs w:val="36"/>
        </w:rPr>
      </w:pPr>
    </w:p>
    <w:p w14:paraId="3A7EC927" w14:textId="77777777" w:rsidR="00D708CD" w:rsidRPr="00D708CD" w:rsidRDefault="00D708CD" w:rsidP="00D708CD">
      <w:pPr>
        <w:rPr>
          <w:rFonts w:ascii="Calibri" w:hAnsi="Calibri"/>
          <w:bCs/>
          <w:iCs/>
          <w:sz w:val="36"/>
          <w:szCs w:val="36"/>
        </w:rPr>
      </w:pPr>
    </w:p>
    <w:p w14:paraId="0950DE93" w14:textId="77777777" w:rsidR="00714A6B" w:rsidRPr="001A3DCD" w:rsidRDefault="00714A6B" w:rsidP="004F223E">
      <w:pPr>
        <w:rPr>
          <w:sz w:val="40"/>
          <w:szCs w:val="36"/>
        </w:rPr>
      </w:pPr>
      <w:bookmarkStart w:id="0" w:name="_GoBack"/>
      <w:bookmarkEnd w:id="0"/>
    </w:p>
    <w:sectPr w:rsidR="00714A6B" w:rsidRPr="001A3DCD" w:rsidSect="006405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6CD"/>
    <w:multiLevelType w:val="hybridMultilevel"/>
    <w:tmpl w:val="9C64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A4B2D"/>
    <w:multiLevelType w:val="hybridMultilevel"/>
    <w:tmpl w:val="92C2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31014"/>
    <w:multiLevelType w:val="hybridMultilevel"/>
    <w:tmpl w:val="2DB2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22186"/>
    <w:multiLevelType w:val="hybridMultilevel"/>
    <w:tmpl w:val="7340F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23D1"/>
    <w:multiLevelType w:val="hybridMultilevel"/>
    <w:tmpl w:val="2136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A2772"/>
    <w:multiLevelType w:val="hybridMultilevel"/>
    <w:tmpl w:val="253A6E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4082B"/>
    <w:multiLevelType w:val="hybridMultilevel"/>
    <w:tmpl w:val="E236D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F2"/>
    <w:rsid w:val="00020B57"/>
    <w:rsid w:val="00081649"/>
    <w:rsid w:val="00093B83"/>
    <w:rsid w:val="000E7A77"/>
    <w:rsid w:val="00106CC0"/>
    <w:rsid w:val="00170929"/>
    <w:rsid w:val="001A3DCD"/>
    <w:rsid w:val="001C2D70"/>
    <w:rsid w:val="00223C19"/>
    <w:rsid w:val="002B67AE"/>
    <w:rsid w:val="0030470E"/>
    <w:rsid w:val="00405EC3"/>
    <w:rsid w:val="004665E1"/>
    <w:rsid w:val="004C3DC7"/>
    <w:rsid w:val="004D38F2"/>
    <w:rsid w:val="004D7647"/>
    <w:rsid w:val="004F223E"/>
    <w:rsid w:val="005229CF"/>
    <w:rsid w:val="00525043"/>
    <w:rsid w:val="00544F63"/>
    <w:rsid w:val="005E1D43"/>
    <w:rsid w:val="006405DE"/>
    <w:rsid w:val="006476B7"/>
    <w:rsid w:val="00684E96"/>
    <w:rsid w:val="006A21F9"/>
    <w:rsid w:val="006A5B57"/>
    <w:rsid w:val="006A715B"/>
    <w:rsid w:val="00714A6B"/>
    <w:rsid w:val="00717492"/>
    <w:rsid w:val="007B00EC"/>
    <w:rsid w:val="007C4EDA"/>
    <w:rsid w:val="0085612A"/>
    <w:rsid w:val="008E4E1B"/>
    <w:rsid w:val="00933BA6"/>
    <w:rsid w:val="00A112B9"/>
    <w:rsid w:val="00AD64FD"/>
    <w:rsid w:val="00B26091"/>
    <w:rsid w:val="00B325DE"/>
    <w:rsid w:val="00B6015C"/>
    <w:rsid w:val="00C47156"/>
    <w:rsid w:val="00C64780"/>
    <w:rsid w:val="00D06053"/>
    <w:rsid w:val="00D44771"/>
    <w:rsid w:val="00D708CD"/>
    <w:rsid w:val="00D74B3C"/>
    <w:rsid w:val="00E02136"/>
    <w:rsid w:val="00E91545"/>
    <w:rsid w:val="00EC215B"/>
    <w:rsid w:val="00EE0096"/>
    <w:rsid w:val="00F302A8"/>
    <w:rsid w:val="00FE23BF"/>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FE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0EC"/>
    <w:rPr>
      <w:rFonts w:ascii="Times New Roman" w:hAnsi="Times New Roman" w:cs="Times New Roman"/>
    </w:rPr>
  </w:style>
  <w:style w:type="paragraph" w:styleId="ListParagraph">
    <w:name w:val="List Paragraph"/>
    <w:basedOn w:val="Normal"/>
    <w:uiPriority w:val="34"/>
    <w:qFormat/>
    <w:rsid w:val="00A1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048">
      <w:bodyDiv w:val="1"/>
      <w:marLeft w:val="0"/>
      <w:marRight w:val="0"/>
      <w:marTop w:val="0"/>
      <w:marBottom w:val="0"/>
      <w:divBdr>
        <w:top w:val="none" w:sz="0" w:space="0" w:color="auto"/>
        <w:left w:val="none" w:sz="0" w:space="0" w:color="auto"/>
        <w:bottom w:val="none" w:sz="0" w:space="0" w:color="auto"/>
        <w:right w:val="none" w:sz="0" w:space="0" w:color="auto"/>
      </w:divBdr>
    </w:div>
    <w:div w:id="382867726">
      <w:bodyDiv w:val="1"/>
      <w:marLeft w:val="0"/>
      <w:marRight w:val="0"/>
      <w:marTop w:val="0"/>
      <w:marBottom w:val="0"/>
      <w:divBdr>
        <w:top w:val="none" w:sz="0" w:space="0" w:color="auto"/>
        <w:left w:val="none" w:sz="0" w:space="0" w:color="auto"/>
        <w:bottom w:val="none" w:sz="0" w:space="0" w:color="auto"/>
        <w:right w:val="none" w:sz="0" w:space="0" w:color="auto"/>
      </w:divBdr>
    </w:div>
    <w:div w:id="782459974">
      <w:bodyDiv w:val="1"/>
      <w:marLeft w:val="0"/>
      <w:marRight w:val="0"/>
      <w:marTop w:val="0"/>
      <w:marBottom w:val="0"/>
      <w:divBdr>
        <w:top w:val="none" w:sz="0" w:space="0" w:color="auto"/>
        <w:left w:val="none" w:sz="0" w:space="0" w:color="auto"/>
        <w:bottom w:val="none" w:sz="0" w:space="0" w:color="auto"/>
        <w:right w:val="none" w:sz="0" w:space="0" w:color="auto"/>
      </w:divBdr>
    </w:div>
    <w:div w:id="1625191914">
      <w:bodyDiv w:val="1"/>
      <w:marLeft w:val="0"/>
      <w:marRight w:val="0"/>
      <w:marTop w:val="0"/>
      <w:marBottom w:val="0"/>
      <w:divBdr>
        <w:top w:val="none" w:sz="0" w:space="0" w:color="auto"/>
        <w:left w:val="none" w:sz="0" w:space="0" w:color="auto"/>
        <w:bottom w:val="none" w:sz="0" w:space="0" w:color="auto"/>
        <w:right w:val="none" w:sz="0" w:space="0" w:color="auto"/>
      </w:divBdr>
    </w:div>
    <w:div w:id="1644693284">
      <w:bodyDiv w:val="1"/>
      <w:marLeft w:val="0"/>
      <w:marRight w:val="0"/>
      <w:marTop w:val="0"/>
      <w:marBottom w:val="0"/>
      <w:divBdr>
        <w:top w:val="none" w:sz="0" w:space="0" w:color="auto"/>
        <w:left w:val="none" w:sz="0" w:space="0" w:color="auto"/>
        <w:bottom w:val="none" w:sz="0" w:space="0" w:color="auto"/>
        <w:right w:val="none" w:sz="0" w:space="0" w:color="auto"/>
      </w:divBdr>
    </w:div>
    <w:div w:id="1903440981">
      <w:bodyDiv w:val="1"/>
      <w:marLeft w:val="0"/>
      <w:marRight w:val="0"/>
      <w:marTop w:val="0"/>
      <w:marBottom w:val="0"/>
      <w:divBdr>
        <w:top w:val="none" w:sz="0" w:space="0" w:color="auto"/>
        <w:left w:val="none" w:sz="0" w:space="0" w:color="auto"/>
        <w:bottom w:val="none" w:sz="0" w:space="0" w:color="auto"/>
        <w:right w:val="none" w:sz="0" w:space="0" w:color="auto"/>
      </w:divBdr>
    </w:div>
    <w:div w:id="2047096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13</Pages>
  <Words>2488</Words>
  <Characters>14188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dc:description/>
  <cp:lastModifiedBy>Edward Morris</cp:lastModifiedBy>
  <cp:revision>3</cp:revision>
  <dcterms:created xsi:type="dcterms:W3CDTF">2015-12-20T18:53:00Z</dcterms:created>
  <dcterms:modified xsi:type="dcterms:W3CDTF">2015-12-21T03:18:00Z</dcterms:modified>
</cp:coreProperties>
</file>