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CF18" w14:textId="77777777" w:rsidR="00C25AF0" w:rsidRDefault="00C25AF0" w:rsidP="00E51700">
      <w:pPr>
        <w:ind w:left="-810"/>
        <w:rPr>
          <w:sz w:val="28"/>
        </w:rPr>
      </w:pPr>
    </w:p>
    <w:p w14:paraId="646AB032" w14:textId="3485CC87" w:rsidR="005A15AF" w:rsidRPr="00B57027" w:rsidRDefault="00E51700" w:rsidP="00E51700">
      <w:pPr>
        <w:ind w:left="-810"/>
        <w:rPr>
          <w:sz w:val="28"/>
        </w:rPr>
      </w:pPr>
      <w:r w:rsidRPr="00B57027">
        <w:rPr>
          <w:sz w:val="28"/>
        </w:rPr>
        <w:t xml:space="preserve">All questions and completed forms should be </w:t>
      </w:r>
      <w:r w:rsidR="00B919CC">
        <w:rPr>
          <w:sz w:val="28"/>
        </w:rPr>
        <w:t xml:space="preserve">sent </w:t>
      </w:r>
      <w:bookmarkStart w:id="0" w:name="_GoBack"/>
      <w:r w:rsidR="00B919CC">
        <w:rPr>
          <w:sz w:val="28"/>
        </w:rPr>
        <w:t>to c</w:t>
      </w:r>
      <w:r w:rsidR="00836C9F" w:rsidRPr="00B57027">
        <w:rPr>
          <w:sz w:val="28"/>
        </w:rPr>
        <w:t>ontroller@icann.org</w:t>
      </w:r>
      <w:bookmarkEnd w:id="0"/>
      <w:r w:rsidR="00B06A16" w:rsidRPr="00B57027">
        <w:rPr>
          <w:sz w:val="28"/>
        </w:rPr>
        <w:t>.</w:t>
      </w:r>
    </w:p>
    <w:p w14:paraId="6BF65E41" w14:textId="5D56EBD5" w:rsidR="00E51700" w:rsidRPr="00E51700" w:rsidRDefault="00E51700" w:rsidP="00E51700">
      <w:pPr>
        <w:ind w:left="-810"/>
        <w:rPr>
          <w:sz w:val="28"/>
        </w:rPr>
      </w:pPr>
      <w:r w:rsidRPr="00B57027">
        <w:rPr>
          <w:sz w:val="28"/>
        </w:rPr>
        <w:t>Please remember that the deadline for FY1</w:t>
      </w:r>
      <w:r w:rsidR="00111C1A">
        <w:rPr>
          <w:sz w:val="28"/>
        </w:rPr>
        <w:t>6</w:t>
      </w:r>
      <w:r w:rsidRPr="00B57027">
        <w:rPr>
          <w:sz w:val="28"/>
        </w:rPr>
        <w:t xml:space="preserve"> Budget consideration is </w:t>
      </w:r>
      <w:r w:rsidR="00111C1A">
        <w:rPr>
          <w:b/>
          <w:sz w:val="28"/>
        </w:rPr>
        <w:t>February</w:t>
      </w:r>
      <w:r w:rsidR="002F444A" w:rsidRPr="00B57027">
        <w:rPr>
          <w:b/>
          <w:sz w:val="28"/>
        </w:rPr>
        <w:t xml:space="preserve"> </w:t>
      </w:r>
      <w:r w:rsidR="00057FAB">
        <w:rPr>
          <w:b/>
          <w:sz w:val="28"/>
        </w:rPr>
        <w:t>2</w:t>
      </w:r>
      <w:r w:rsidR="00111C1A">
        <w:rPr>
          <w:b/>
          <w:sz w:val="28"/>
        </w:rPr>
        <w:t>8</w:t>
      </w:r>
      <w:r w:rsidR="00111C1A" w:rsidRPr="00111C1A">
        <w:rPr>
          <w:b/>
          <w:sz w:val="28"/>
          <w:vertAlign w:val="superscript"/>
        </w:rPr>
        <w:t>th</w:t>
      </w:r>
      <w:r w:rsidR="00111C1A">
        <w:rPr>
          <w:b/>
          <w:sz w:val="28"/>
        </w:rPr>
        <w:t xml:space="preserve"> </w:t>
      </w:r>
      <w:r w:rsidRPr="00B57027">
        <w:rPr>
          <w:b/>
          <w:sz w:val="28"/>
        </w:rPr>
        <w:t>201</w:t>
      </w:r>
      <w:r w:rsidR="00111C1A">
        <w:rPr>
          <w:b/>
          <w:sz w:val="28"/>
        </w:rPr>
        <w:t>5</w:t>
      </w:r>
      <w:r w:rsidR="00B57027" w:rsidRPr="00B57027">
        <w:rPr>
          <w:b/>
          <w:sz w:val="28"/>
        </w:rPr>
        <w:t>.</w:t>
      </w: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0BFBC631" w14:textId="77777777" w:rsidR="00345682" w:rsidRDefault="00F576B8" w:rsidP="00345682">
            <w:pPr>
              <w:pStyle w:val="TableText"/>
              <w:rPr>
                <w:noProof w:val="0"/>
              </w:rPr>
            </w:pPr>
            <w:r>
              <w:rPr>
                <w:noProof w:val="0"/>
              </w:rPr>
              <w:t xml:space="preserve"> </w:t>
            </w:r>
          </w:p>
          <w:p w14:paraId="69C92CD6" w14:textId="0DD6010B" w:rsidR="005A15AF" w:rsidRDefault="00345682" w:rsidP="00345682">
            <w:pPr>
              <w:pStyle w:val="TableText"/>
              <w:rPr>
                <w:noProof w:val="0"/>
              </w:rPr>
            </w:pPr>
            <w:r w:rsidRPr="00B74D70">
              <w:rPr>
                <w:noProof w:val="0"/>
              </w:rPr>
              <w:t xml:space="preserve">Workshops &amp; </w:t>
            </w:r>
            <w:r>
              <w:rPr>
                <w:noProof w:val="0"/>
              </w:rPr>
              <w:t>o</w:t>
            </w:r>
            <w:r w:rsidRPr="00B74D70">
              <w:rPr>
                <w:noProof w:val="0"/>
              </w:rPr>
              <w:t>utreach at</w:t>
            </w:r>
            <w:r>
              <w:rPr>
                <w:noProof w:val="0"/>
              </w:rPr>
              <w:t xml:space="preserve"> the</w:t>
            </w:r>
            <w:r w:rsidRPr="00B74D70">
              <w:rPr>
                <w:noProof w:val="0"/>
              </w:rPr>
              <w:t xml:space="preserve"> IGF</w:t>
            </w:r>
            <w:r w:rsidR="003B17EF">
              <w:rPr>
                <w:noProof w:val="0"/>
              </w:rPr>
              <w:t xml:space="preserve"> meeting </w:t>
            </w:r>
            <w:r>
              <w:rPr>
                <w:noProof w:val="0"/>
              </w:rPr>
              <w:t xml:space="preserve">in </w:t>
            </w:r>
            <w:proofErr w:type="spellStart"/>
            <w:r w:rsidRPr="00345682">
              <w:rPr>
                <w:noProof w:val="0"/>
              </w:rPr>
              <w:t>João</w:t>
            </w:r>
            <w:proofErr w:type="spellEnd"/>
            <w:r w:rsidRPr="00345682">
              <w:rPr>
                <w:noProof w:val="0"/>
              </w:rPr>
              <w:t xml:space="preserve"> Pessoa</w:t>
            </w:r>
            <w:r w:rsidR="003B17EF">
              <w:rPr>
                <w:noProof w:val="0"/>
              </w:rPr>
              <w:t>, Brazil</w:t>
            </w:r>
            <w:r>
              <w:rPr>
                <w:noProof w:val="0"/>
              </w:rPr>
              <w:t>, November 2015</w:t>
            </w:r>
          </w:p>
          <w:p w14:paraId="56FAFB48" w14:textId="54EEF202" w:rsidR="003B17EF" w:rsidRDefault="003B17EF" w:rsidP="00345682">
            <w:pPr>
              <w:pStyle w:val="TableText"/>
              <w:rPr>
                <w:noProof w:val="0"/>
              </w:rPr>
            </w:pP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11E15162" w14:textId="77777777" w:rsidR="00345682" w:rsidRDefault="00345682">
            <w:pPr>
              <w:pStyle w:val="Header"/>
              <w:rPr>
                <w:rFonts w:ascii="Arial" w:hAnsi="Arial"/>
              </w:rPr>
            </w:pPr>
          </w:p>
          <w:p w14:paraId="6B50BB57" w14:textId="21D8A335" w:rsidR="005A15AF" w:rsidRDefault="00345682">
            <w:pPr>
              <w:pStyle w:val="Header"/>
              <w:rPr>
                <w:rFonts w:ascii="Arial" w:hAnsi="Arial"/>
              </w:rPr>
            </w:pPr>
            <w:r w:rsidRPr="00B74D70">
              <w:rPr>
                <w:rFonts w:ascii="Arial" w:hAnsi="Arial"/>
              </w:rPr>
              <w:t>Noncommercial Users Constituency (NCUC), GNSO</w:t>
            </w:r>
          </w:p>
        </w:tc>
        <w:tc>
          <w:tcPr>
            <w:tcW w:w="5490" w:type="dxa"/>
            <w:gridSpan w:val="2"/>
            <w:tcBorders>
              <w:top w:val="nil"/>
              <w:left w:val="single" w:sz="6" w:space="0" w:color="auto"/>
              <w:bottom w:val="single" w:sz="4" w:space="0" w:color="auto"/>
              <w:right w:val="single" w:sz="4" w:space="0" w:color="auto"/>
            </w:tcBorders>
          </w:tcPr>
          <w:p w14:paraId="4A0DE399" w14:textId="77777777" w:rsidR="00345682" w:rsidRDefault="00345682">
            <w:pPr>
              <w:pStyle w:val="Header"/>
              <w:rPr>
                <w:rFonts w:ascii="Arial" w:hAnsi="Arial"/>
              </w:rPr>
            </w:pPr>
          </w:p>
          <w:p w14:paraId="132FFA89" w14:textId="4FE7FA1C" w:rsidR="00946200" w:rsidRDefault="00345682">
            <w:pPr>
              <w:pStyle w:val="Header"/>
              <w:rPr>
                <w:rFonts w:ascii="Arial" w:hAnsi="Arial"/>
              </w:rPr>
            </w:pPr>
            <w:r w:rsidRPr="00B74D70">
              <w:rPr>
                <w:rFonts w:ascii="Arial" w:hAnsi="Arial"/>
              </w:rPr>
              <w:t>William Drake</w:t>
            </w:r>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15A1023B" w14:textId="77777777" w:rsidR="00946200" w:rsidRDefault="00946200">
            <w:pPr>
              <w:pStyle w:val="Header"/>
              <w:rPr>
                <w:rFonts w:ascii="Arial" w:hAnsi="Arial"/>
              </w:rPr>
            </w:pPr>
          </w:p>
          <w:p w14:paraId="5CDF4DD3" w14:textId="143B8299" w:rsidR="005A15AF" w:rsidRDefault="00345682">
            <w:pPr>
              <w:pStyle w:val="Header"/>
              <w:rPr>
                <w:rFonts w:ascii="Arial" w:hAnsi="Arial"/>
              </w:rPr>
            </w:pPr>
            <w:r w:rsidRPr="00B74D70">
              <w:rPr>
                <w:rFonts w:ascii="Arial" w:hAnsi="Arial"/>
              </w:rPr>
              <w:t xml:space="preserve">Glen de St. </w:t>
            </w:r>
            <w:proofErr w:type="spellStart"/>
            <w:r w:rsidRPr="00B74D70">
              <w:rPr>
                <w:rFonts w:ascii="Arial" w:hAnsi="Arial"/>
              </w:rPr>
              <w:t>Gery</w:t>
            </w:r>
            <w:proofErr w:type="spellEnd"/>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0B5C135F" w14:textId="56B7BF29" w:rsidR="009A058F" w:rsidRDefault="009A058F" w:rsidP="00EB3FA1">
            <w:pPr>
              <w:rPr>
                <w:rFonts w:ascii="Arial" w:hAnsi="Arial"/>
              </w:rPr>
            </w:pPr>
          </w:p>
          <w:p w14:paraId="28487B62" w14:textId="63364E88" w:rsidR="00376492" w:rsidRDefault="00DB509A" w:rsidP="00345682">
            <w:pPr>
              <w:rPr>
                <w:rFonts w:ascii="Arial" w:hAnsi="Arial"/>
              </w:rPr>
            </w:pPr>
            <w:r>
              <w:rPr>
                <w:rFonts w:ascii="Arial" w:hAnsi="Arial"/>
              </w:rPr>
              <w:t xml:space="preserve">ICANN supported </w:t>
            </w:r>
            <w:r w:rsidR="003B17EF">
              <w:rPr>
                <w:rFonts w:ascii="Arial" w:hAnsi="Arial"/>
              </w:rPr>
              <w:t xml:space="preserve">the </w:t>
            </w:r>
            <w:r>
              <w:rPr>
                <w:rFonts w:ascii="Arial" w:hAnsi="Arial"/>
              </w:rPr>
              <w:t xml:space="preserve">NCUC </w:t>
            </w:r>
            <w:r w:rsidR="00040D89">
              <w:rPr>
                <w:rFonts w:ascii="Arial" w:hAnsi="Arial"/>
              </w:rPr>
              <w:t xml:space="preserve">budget </w:t>
            </w:r>
            <w:r>
              <w:rPr>
                <w:rFonts w:ascii="Arial" w:hAnsi="Arial"/>
              </w:rPr>
              <w:t>requests for th</w:t>
            </w:r>
            <w:r w:rsidR="00040D89">
              <w:rPr>
                <w:rFonts w:ascii="Arial" w:hAnsi="Arial"/>
              </w:rPr>
              <w:t xml:space="preserve">e </w:t>
            </w:r>
            <w:r>
              <w:rPr>
                <w:rFonts w:ascii="Arial" w:hAnsi="Arial"/>
              </w:rPr>
              <w:t xml:space="preserve">2013 Bali and 2014 Istanbul </w:t>
            </w:r>
            <w:r w:rsidR="00040D89">
              <w:rPr>
                <w:rFonts w:ascii="Arial" w:hAnsi="Arial"/>
              </w:rPr>
              <w:t xml:space="preserve">IGF meetings. </w:t>
            </w:r>
            <w:r w:rsidR="003B17EF">
              <w:rPr>
                <w:rFonts w:ascii="Arial" w:hAnsi="Arial"/>
              </w:rPr>
              <w:t>T</w:t>
            </w:r>
            <w:r>
              <w:rPr>
                <w:rFonts w:ascii="Arial" w:hAnsi="Arial"/>
              </w:rPr>
              <w:t>he two NCUC workshop proposals</w:t>
            </w:r>
            <w:r w:rsidR="003B17EF">
              <w:rPr>
                <w:rFonts w:ascii="Arial" w:hAnsi="Arial"/>
              </w:rPr>
              <w:t xml:space="preserve"> for each of these meetings</w:t>
            </w:r>
            <w:r>
              <w:rPr>
                <w:rFonts w:ascii="Arial" w:hAnsi="Arial"/>
              </w:rPr>
              <w:t xml:space="preserve"> were highly ranked </w:t>
            </w:r>
            <w:r w:rsidR="00376492">
              <w:rPr>
                <w:rFonts w:ascii="Arial" w:hAnsi="Arial"/>
              </w:rPr>
              <w:t xml:space="preserve">in the competitive evaluation and </w:t>
            </w:r>
            <w:r>
              <w:rPr>
                <w:rFonts w:ascii="Arial" w:hAnsi="Arial"/>
              </w:rPr>
              <w:t xml:space="preserve">approved by the </w:t>
            </w:r>
            <w:r w:rsidR="00345682">
              <w:rPr>
                <w:rFonts w:ascii="Arial" w:hAnsi="Arial"/>
              </w:rPr>
              <w:t>IGF’s Multist</w:t>
            </w:r>
            <w:r w:rsidR="00040D89">
              <w:rPr>
                <w:rFonts w:ascii="Arial" w:hAnsi="Arial"/>
              </w:rPr>
              <w:t>akeholder Advisory Group</w:t>
            </w:r>
            <w:r w:rsidR="00376492">
              <w:rPr>
                <w:rFonts w:ascii="Arial" w:hAnsi="Arial"/>
              </w:rPr>
              <w:t xml:space="preserve">, </w:t>
            </w:r>
            <w:r w:rsidR="00040D89">
              <w:rPr>
                <w:rFonts w:ascii="Arial" w:hAnsi="Arial"/>
              </w:rPr>
              <w:t>and the ensuing workshops were very well received and impactful in terms of outreach and fostering constructive dialogue on issues of relevance to ICANN.  In addition, NCUC representatives participated in many other program even</w:t>
            </w:r>
            <w:r w:rsidR="003B17EF">
              <w:rPr>
                <w:rFonts w:ascii="Arial" w:hAnsi="Arial"/>
              </w:rPr>
              <w:t xml:space="preserve">ts and related discussions </w:t>
            </w:r>
            <w:r w:rsidR="00040D89">
              <w:rPr>
                <w:rFonts w:ascii="Arial" w:hAnsi="Arial"/>
              </w:rPr>
              <w:t xml:space="preserve">and engaged in outreach efforts that led to numerous new memberships.  Some of these </w:t>
            </w:r>
            <w:r w:rsidR="003B17EF">
              <w:rPr>
                <w:rFonts w:ascii="Arial" w:hAnsi="Arial"/>
              </w:rPr>
              <w:t>new members</w:t>
            </w:r>
            <w:r w:rsidR="00040D89">
              <w:rPr>
                <w:rFonts w:ascii="Arial" w:hAnsi="Arial"/>
              </w:rPr>
              <w:t xml:space="preserve"> have gone on to elected and appointed leadership positions and other forms of active engagement in NCUC, NCSG, the GNSO and ICANN.  </w:t>
            </w:r>
            <w:r w:rsidR="00376492">
              <w:rPr>
                <w:rFonts w:ascii="Arial" w:hAnsi="Arial"/>
              </w:rPr>
              <w:t xml:space="preserve">A detailed report on </w:t>
            </w:r>
            <w:r w:rsidR="00040D89">
              <w:rPr>
                <w:rFonts w:ascii="Arial" w:hAnsi="Arial"/>
              </w:rPr>
              <w:t xml:space="preserve">our </w:t>
            </w:r>
            <w:r w:rsidR="003B17EF">
              <w:rPr>
                <w:rFonts w:ascii="Arial" w:hAnsi="Arial"/>
              </w:rPr>
              <w:t xml:space="preserve">heavy </w:t>
            </w:r>
            <w:r w:rsidR="00040D89">
              <w:rPr>
                <w:rFonts w:ascii="Arial" w:hAnsi="Arial"/>
              </w:rPr>
              <w:t>participation in the 2014 IGF was submitted last year to staff.</w:t>
            </w:r>
          </w:p>
          <w:p w14:paraId="6F1E6768" w14:textId="77777777" w:rsidR="00376492" w:rsidRDefault="00376492" w:rsidP="00345682">
            <w:pPr>
              <w:rPr>
                <w:rFonts w:ascii="Arial" w:hAnsi="Arial"/>
              </w:rPr>
            </w:pPr>
          </w:p>
          <w:p w14:paraId="0A916FF2" w14:textId="1163047B" w:rsidR="00DB509A" w:rsidRDefault="00345682" w:rsidP="00345682">
            <w:pPr>
              <w:rPr>
                <w:rFonts w:ascii="Arial" w:hAnsi="Arial"/>
              </w:rPr>
            </w:pPr>
            <w:r>
              <w:rPr>
                <w:rFonts w:ascii="Arial" w:hAnsi="Arial"/>
              </w:rPr>
              <w:t xml:space="preserve">We </w:t>
            </w:r>
            <w:r w:rsidR="00040D89">
              <w:rPr>
                <w:rFonts w:ascii="Arial" w:hAnsi="Arial"/>
              </w:rPr>
              <w:t xml:space="preserve">would like to build on these successes at the </w:t>
            </w:r>
            <w:proofErr w:type="spellStart"/>
            <w:r w:rsidR="00040D89" w:rsidRPr="00040D89">
              <w:rPr>
                <w:rFonts w:ascii="Arial" w:hAnsi="Arial"/>
              </w:rPr>
              <w:t>João</w:t>
            </w:r>
            <w:proofErr w:type="spellEnd"/>
            <w:r w:rsidR="00040D89" w:rsidRPr="00040D89">
              <w:rPr>
                <w:rFonts w:ascii="Arial" w:hAnsi="Arial"/>
              </w:rPr>
              <w:t xml:space="preserve"> Pessoa</w:t>
            </w:r>
            <w:r w:rsidR="00040D89">
              <w:rPr>
                <w:rFonts w:ascii="Arial" w:hAnsi="Arial"/>
              </w:rPr>
              <w:t xml:space="preserve"> meeting, and will</w:t>
            </w:r>
            <w:r>
              <w:rPr>
                <w:rFonts w:ascii="Arial" w:hAnsi="Arial"/>
              </w:rPr>
              <w:t xml:space="preserve"> </w:t>
            </w:r>
            <w:r w:rsidR="00040D89">
              <w:rPr>
                <w:rFonts w:ascii="Arial" w:hAnsi="Arial"/>
              </w:rPr>
              <w:t xml:space="preserve">again </w:t>
            </w:r>
            <w:r>
              <w:rPr>
                <w:rFonts w:ascii="Arial" w:hAnsi="Arial"/>
              </w:rPr>
              <w:t xml:space="preserve">propose two workshops.  The </w:t>
            </w:r>
            <w:r w:rsidR="00A520CB">
              <w:rPr>
                <w:rFonts w:ascii="Arial" w:hAnsi="Arial"/>
              </w:rPr>
              <w:t xml:space="preserve">first would be on </w:t>
            </w:r>
            <w:r>
              <w:rPr>
                <w:rFonts w:ascii="Arial" w:hAnsi="Arial"/>
              </w:rPr>
              <w:t>the role of governments in</w:t>
            </w:r>
            <w:r w:rsidR="00A520CB">
              <w:rPr>
                <w:rFonts w:ascii="Arial" w:hAnsi="Arial"/>
              </w:rPr>
              <w:t xml:space="preserve"> the governance of critical Internet resources</w:t>
            </w:r>
            <w:r w:rsidR="00040D89">
              <w:rPr>
                <w:rFonts w:ascii="Arial" w:hAnsi="Arial"/>
              </w:rPr>
              <w:t>, with particular attention to</w:t>
            </w:r>
            <w:r w:rsidR="00A520CB">
              <w:rPr>
                <w:rFonts w:ascii="Arial" w:hAnsi="Arial"/>
              </w:rPr>
              <w:t xml:space="preserve"> </w:t>
            </w:r>
            <w:r w:rsidR="003B17EF">
              <w:rPr>
                <w:rFonts w:ascii="Arial" w:hAnsi="Arial"/>
              </w:rPr>
              <w:t xml:space="preserve">the </w:t>
            </w:r>
            <w:r w:rsidR="00A520CB">
              <w:rPr>
                <w:rFonts w:ascii="Arial" w:hAnsi="Arial"/>
              </w:rPr>
              <w:t xml:space="preserve">ICANN </w:t>
            </w:r>
            <w:r w:rsidR="003B17EF">
              <w:rPr>
                <w:rFonts w:ascii="Arial" w:hAnsi="Arial"/>
              </w:rPr>
              <w:t xml:space="preserve">environment </w:t>
            </w:r>
            <w:r w:rsidR="00A520CB">
              <w:rPr>
                <w:rFonts w:ascii="Arial" w:hAnsi="Arial"/>
              </w:rPr>
              <w:t xml:space="preserve">but also </w:t>
            </w:r>
            <w:r w:rsidR="00040D89">
              <w:rPr>
                <w:rFonts w:ascii="Arial" w:hAnsi="Arial"/>
              </w:rPr>
              <w:t xml:space="preserve">a bit </w:t>
            </w:r>
            <w:r w:rsidR="003B17EF">
              <w:rPr>
                <w:rFonts w:ascii="Arial" w:hAnsi="Arial"/>
              </w:rPr>
              <w:t>to</w:t>
            </w:r>
            <w:r w:rsidR="00A520CB">
              <w:rPr>
                <w:rFonts w:ascii="Arial" w:hAnsi="Arial"/>
              </w:rPr>
              <w:t xml:space="preserve"> </w:t>
            </w:r>
            <w:r w:rsidR="003B17EF">
              <w:rPr>
                <w:rFonts w:ascii="Arial" w:hAnsi="Arial"/>
              </w:rPr>
              <w:t>external</w:t>
            </w:r>
            <w:r w:rsidR="00A520CB">
              <w:rPr>
                <w:rFonts w:ascii="Arial" w:hAnsi="Arial"/>
              </w:rPr>
              <w:t xml:space="preserve"> </w:t>
            </w:r>
            <w:r w:rsidR="00DB509A">
              <w:rPr>
                <w:rFonts w:ascii="Arial" w:hAnsi="Arial"/>
              </w:rPr>
              <w:t>setting</w:t>
            </w:r>
            <w:r w:rsidR="00040D89">
              <w:rPr>
                <w:rFonts w:ascii="Arial" w:hAnsi="Arial"/>
              </w:rPr>
              <w:t xml:space="preserve">s like </w:t>
            </w:r>
            <w:r w:rsidR="00DB509A">
              <w:rPr>
                <w:rFonts w:ascii="Arial" w:hAnsi="Arial"/>
              </w:rPr>
              <w:t>the 2015 WSIS+10 meeting in the UN General Assembly</w:t>
            </w:r>
            <w:r>
              <w:rPr>
                <w:rFonts w:ascii="Arial" w:hAnsi="Arial"/>
              </w:rPr>
              <w:t xml:space="preserve">. </w:t>
            </w:r>
            <w:r w:rsidR="00DB509A">
              <w:rPr>
                <w:rFonts w:ascii="Arial" w:hAnsi="Arial"/>
              </w:rPr>
              <w:t xml:space="preserve">Key participants have already signed on for this session.  The second would be on the challenges of conceptualizing and acting in accordance with “global public interest” in ICANN and Internet governance more generally.  This is a pressing topic raised in ICANN’s </w:t>
            </w:r>
            <w:r w:rsidR="003B17EF">
              <w:rPr>
                <w:rFonts w:ascii="Arial" w:hAnsi="Arial"/>
              </w:rPr>
              <w:t xml:space="preserve">strategic and </w:t>
            </w:r>
            <w:r w:rsidR="00DB509A">
              <w:rPr>
                <w:rFonts w:ascii="Arial" w:hAnsi="Arial"/>
              </w:rPr>
              <w:t>operating plan</w:t>
            </w:r>
            <w:r w:rsidR="003B17EF">
              <w:rPr>
                <w:rFonts w:ascii="Arial" w:hAnsi="Arial"/>
              </w:rPr>
              <w:t>s</w:t>
            </w:r>
            <w:r w:rsidR="00DB509A">
              <w:rPr>
                <w:rFonts w:ascii="Arial" w:hAnsi="Arial"/>
              </w:rPr>
              <w:t xml:space="preserve"> that we have discussed with the </w:t>
            </w:r>
            <w:r w:rsidR="003B17EF">
              <w:rPr>
                <w:rFonts w:ascii="Arial" w:hAnsi="Arial"/>
              </w:rPr>
              <w:t>organizational leadership and</w:t>
            </w:r>
            <w:r w:rsidR="00DB509A">
              <w:rPr>
                <w:rFonts w:ascii="Arial" w:hAnsi="Arial"/>
              </w:rPr>
              <w:t xml:space="preserve"> community at several recent meetings, and engagement on the matter </w:t>
            </w:r>
            <w:r w:rsidR="003B17EF">
              <w:rPr>
                <w:rFonts w:ascii="Arial" w:hAnsi="Arial"/>
              </w:rPr>
              <w:t>with</w:t>
            </w:r>
            <w:r w:rsidR="00DB509A">
              <w:rPr>
                <w:rFonts w:ascii="Arial" w:hAnsi="Arial"/>
              </w:rPr>
              <w:t xml:space="preserve"> a broader and more diverse IGF audience would </w:t>
            </w:r>
            <w:r w:rsidR="00040D89">
              <w:rPr>
                <w:rFonts w:ascii="Arial" w:hAnsi="Arial"/>
              </w:rPr>
              <w:t>be helpful to the emerging dialogue</w:t>
            </w:r>
            <w:r w:rsidR="00DB509A">
              <w:rPr>
                <w:rFonts w:ascii="Arial" w:hAnsi="Arial"/>
              </w:rPr>
              <w:t xml:space="preserve">.  </w:t>
            </w:r>
            <w:r w:rsidR="003B17EF">
              <w:rPr>
                <w:rFonts w:ascii="Arial" w:hAnsi="Arial"/>
              </w:rPr>
              <w:t xml:space="preserve">In addition, </w:t>
            </w:r>
            <w:r w:rsidR="00040D89">
              <w:rPr>
                <w:rFonts w:ascii="Arial" w:hAnsi="Arial"/>
              </w:rPr>
              <w:t xml:space="preserve">NCUC representatives also would again participate in a range of other civil society and </w:t>
            </w:r>
            <w:proofErr w:type="spellStart"/>
            <w:r w:rsidR="00040D89">
              <w:rPr>
                <w:rFonts w:ascii="Arial" w:hAnsi="Arial"/>
              </w:rPr>
              <w:t>multistakeholder</w:t>
            </w:r>
            <w:proofErr w:type="spellEnd"/>
            <w:r w:rsidR="00040D89">
              <w:rPr>
                <w:rFonts w:ascii="Arial" w:hAnsi="Arial"/>
              </w:rPr>
              <w:t xml:space="preserve"> events and discussions.</w:t>
            </w:r>
          </w:p>
          <w:p w14:paraId="748F10C7" w14:textId="460A11DD" w:rsidR="00F576B8" w:rsidRPr="009A058F" w:rsidRDefault="00F576B8" w:rsidP="00040D89">
            <w:pPr>
              <w:rPr>
                <w:rFonts w:ascii="Arial" w:hAnsi="Arial"/>
              </w:rPr>
            </w:pP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ED4BA3A" w14:textId="77777777" w:rsidR="00345682" w:rsidRDefault="00345682" w:rsidP="00345682">
            <w:pPr>
              <w:rPr>
                <w:rFonts w:ascii="Arial" w:hAnsi="Arial"/>
              </w:rPr>
            </w:pPr>
          </w:p>
          <w:p w14:paraId="1B3F1B38" w14:textId="77777777" w:rsidR="00F576B8" w:rsidRDefault="00345682" w:rsidP="009A058F">
            <w:pPr>
              <w:rPr>
                <w:rFonts w:ascii="Arial" w:hAnsi="Arial"/>
              </w:rPr>
            </w:pPr>
            <w:r w:rsidRPr="00B74D70">
              <w:rPr>
                <w:rFonts w:ascii="Arial" w:hAnsi="Arial"/>
              </w:rPr>
              <w:t>Outreach, education, meeting, travel support</w:t>
            </w:r>
          </w:p>
          <w:p w14:paraId="189667B8" w14:textId="005AB6EB" w:rsidR="001912A9" w:rsidRPr="009A058F" w:rsidRDefault="001912A9" w:rsidP="009A058F">
            <w:pPr>
              <w:rPr>
                <w:rFonts w:ascii="Arial" w:hAnsi="Arial"/>
              </w:rPr>
            </w:pP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lastRenderedPageBreak/>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5F03E0AC" w14:textId="77777777" w:rsidR="001912A9" w:rsidRDefault="001912A9" w:rsidP="001B79F2">
            <w:pPr>
              <w:rPr>
                <w:rFonts w:ascii="Arial" w:hAnsi="Arial"/>
              </w:rPr>
            </w:pPr>
          </w:p>
          <w:p w14:paraId="6A710241" w14:textId="23B429D1" w:rsidR="003F32A0" w:rsidRDefault="00345682" w:rsidP="001B79F2">
            <w:pPr>
              <w:rPr>
                <w:rFonts w:ascii="Arial" w:hAnsi="Arial"/>
              </w:rPr>
            </w:pPr>
            <w:r w:rsidRPr="00B74D70">
              <w:rPr>
                <w:rFonts w:ascii="Arial" w:hAnsi="Arial"/>
              </w:rPr>
              <w:t>Multiple one-time activities</w:t>
            </w:r>
          </w:p>
          <w:p w14:paraId="7DB508AB" w14:textId="7D66C3C3" w:rsidR="00F576B8" w:rsidRPr="009A058F" w:rsidRDefault="00F576B8" w:rsidP="001B79F2">
            <w:pPr>
              <w:rPr>
                <w:rFonts w:ascii="Arial" w:hAnsi="Arial"/>
              </w:rPr>
            </w:pP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4E0E0880" w14:textId="77777777" w:rsidR="00F576B8" w:rsidRDefault="00F576B8" w:rsidP="00B06A16">
            <w:pPr>
              <w:rPr>
                <w:rFonts w:ascii="Arial" w:hAnsi="Arial"/>
                <w:lang w:eastAsia="zh-TW"/>
              </w:rPr>
            </w:pPr>
          </w:p>
          <w:p w14:paraId="099B94A1" w14:textId="4D878CAB" w:rsidR="00D05A99" w:rsidRPr="001C0DF0" w:rsidRDefault="001C0DF0" w:rsidP="001C0DF0">
            <w:pPr>
              <w:rPr>
                <w:rFonts w:ascii="Arial" w:hAnsi="Arial"/>
                <w:bCs/>
              </w:rPr>
            </w:pPr>
            <w:r w:rsidRPr="001C0DF0">
              <w:rPr>
                <w:rFonts w:ascii="Arial" w:hAnsi="Arial"/>
                <w:bCs/>
              </w:rPr>
              <w:t xml:space="preserve">Promote ICANN’s role and </w:t>
            </w:r>
            <w:proofErr w:type="spellStart"/>
            <w:r w:rsidRPr="003B17EF">
              <w:rPr>
                <w:rFonts w:ascii="Arial" w:hAnsi="Arial"/>
                <w:bCs/>
              </w:rPr>
              <w:t>multistakeholder</w:t>
            </w:r>
            <w:proofErr w:type="spellEnd"/>
            <w:r w:rsidRPr="001C0DF0">
              <w:rPr>
                <w:rFonts w:ascii="Arial" w:hAnsi="Arial"/>
                <w:b/>
                <w:bCs/>
              </w:rPr>
              <w:t xml:space="preserve"> </w:t>
            </w:r>
            <w:r>
              <w:rPr>
                <w:rFonts w:ascii="Arial" w:hAnsi="Arial"/>
                <w:bCs/>
              </w:rPr>
              <w:t>approach; e</w:t>
            </w:r>
            <w:r w:rsidRPr="001C0DF0">
              <w:rPr>
                <w:rFonts w:ascii="Arial" w:hAnsi="Arial"/>
                <w:bCs/>
              </w:rPr>
              <w:t xml:space="preserve">ncourage engagement </w:t>
            </w:r>
            <w:r w:rsidRPr="001C0DF0">
              <w:rPr>
                <w:rFonts w:ascii="Arial" w:hAnsi="Arial"/>
              </w:rPr>
              <w:t xml:space="preserve">with the existing Internet governance ecosystem at national, regional and international levels; </w:t>
            </w:r>
            <w:r>
              <w:rPr>
                <w:rFonts w:ascii="Arial" w:hAnsi="Arial"/>
                <w:bCs/>
              </w:rPr>
              <w:t>c</w:t>
            </w:r>
            <w:r w:rsidRPr="001C0DF0">
              <w:rPr>
                <w:rFonts w:ascii="Arial" w:hAnsi="Arial"/>
                <w:bCs/>
              </w:rPr>
              <w:t xml:space="preserve">larify the role of governments </w:t>
            </w:r>
            <w:r w:rsidRPr="001C0DF0">
              <w:rPr>
                <w:rFonts w:ascii="Arial" w:hAnsi="Arial"/>
              </w:rPr>
              <w:t xml:space="preserve">in ICANN and work with them to strengthen their commitment to supporting the global Internet ecosystem; </w:t>
            </w:r>
            <w:r>
              <w:rPr>
                <w:rFonts w:ascii="Arial" w:hAnsi="Arial"/>
              </w:rPr>
              <w:t>p</w:t>
            </w:r>
            <w:r w:rsidRPr="001C0DF0">
              <w:rPr>
                <w:rFonts w:ascii="Arial" w:hAnsi="Arial"/>
              </w:rPr>
              <w:t xml:space="preserve">articipate in the evolution of a global, trusted, inclusive </w:t>
            </w:r>
            <w:proofErr w:type="spellStart"/>
            <w:r w:rsidRPr="001C0DF0">
              <w:rPr>
                <w:rFonts w:ascii="Arial" w:hAnsi="Arial"/>
              </w:rPr>
              <w:t>multistakeholder</w:t>
            </w:r>
            <w:proofErr w:type="spellEnd"/>
            <w:r w:rsidRPr="001C0DF0">
              <w:rPr>
                <w:rFonts w:ascii="Arial" w:hAnsi="Arial"/>
              </w:rPr>
              <w:t xml:space="preserve"> </w:t>
            </w:r>
            <w:r w:rsidRPr="001C0DF0">
              <w:rPr>
                <w:rFonts w:ascii="Arial" w:hAnsi="Arial"/>
                <w:bCs/>
              </w:rPr>
              <w:t xml:space="preserve">Internet governance ecosystem </w:t>
            </w:r>
            <w:r w:rsidRPr="001C0DF0">
              <w:rPr>
                <w:rFonts w:ascii="Arial" w:hAnsi="Arial"/>
              </w:rPr>
              <w:t xml:space="preserve">that addresses Internet issues; </w:t>
            </w:r>
            <w:r>
              <w:rPr>
                <w:rFonts w:ascii="Arial" w:hAnsi="Arial"/>
              </w:rPr>
              <w:t>p</w:t>
            </w:r>
            <w:r w:rsidRPr="001C0DF0">
              <w:rPr>
                <w:rFonts w:ascii="Arial" w:hAnsi="Arial"/>
              </w:rPr>
              <w:t xml:space="preserve">romote role clarity and establish mechanisms to </w:t>
            </w:r>
            <w:r w:rsidRPr="001C0DF0">
              <w:rPr>
                <w:rFonts w:ascii="Arial" w:hAnsi="Arial"/>
                <w:bCs/>
              </w:rPr>
              <w:t xml:space="preserve">increase trust </w:t>
            </w:r>
            <w:r w:rsidRPr="001C0DF0">
              <w:rPr>
                <w:rFonts w:ascii="Arial" w:hAnsi="Arial"/>
              </w:rPr>
              <w:t xml:space="preserve">within the ecosystem rooted in the public interest; </w:t>
            </w:r>
            <w:r>
              <w:rPr>
                <w:rFonts w:ascii="Arial" w:hAnsi="Arial"/>
              </w:rPr>
              <w:t>d</w:t>
            </w:r>
            <w:r w:rsidRPr="001C0DF0">
              <w:rPr>
                <w:rFonts w:ascii="Arial" w:hAnsi="Arial"/>
              </w:rPr>
              <w:t xml:space="preserve">evelop and implement a </w:t>
            </w:r>
            <w:r w:rsidRPr="001C0DF0">
              <w:rPr>
                <w:rFonts w:ascii="Arial" w:hAnsi="Arial"/>
                <w:bCs/>
              </w:rPr>
              <w:t xml:space="preserve">global public interest </w:t>
            </w:r>
            <w:r w:rsidRPr="001C0DF0">
              <w:rPr>
                <w:rFonts w:ascii="Arial" w:hAnsi="Arial"/>
              </w:rPr>
              <w:t xml:space="preserve">framework bounded by ICANN’s mission; </w:t>
            </w:r>
            <w:r>
              <w:rPr>
                <w:rFonts w:ascii="Arial" w:hAnsi="Arial"/>
                <w:bCs/>
              </w:rPr>
              <w:t>e</w:t>
            </w:r>
            <w:r w:rsidRPr="001C0DF0">
              <w:rPr>
                <w:rFonts w:ascii="Arial" w:hAnsi="Arial"/>
                <w:bCs/>
              </w:rPr>
              <w:t xml:space="preserve">mpower current and new stakeholders </w:t>
            </w:r>
            <w:r w:rsidRPr="001C0DF0">
              <w:rPr>
                <w:rFonts w:ascii="Arial" w:hAnsi="Arial"/>
              </w:rPr>
              <w:t xml:space="preserve">to fully participate in ICANN activities. </w:t>
            </w:r>
          </w:p>
          <w:p w14:paraId="35342321" w14:textId="30A19FD5" w:rsidR="00F576B8" w:rsidRPr="00B06A16" w:rsidRDefault="00D05A99" w:rsidP="00D05A99">
            <w:pPr>
              <w:rPr>
                <w:b/>
              </w:rPr>
            </w:pPr>
            <w:r w:rsidRPr="00D05A99">
              <w:rPr>
                <w:rFonts w:ascii="Arial" w:hAnsi="Arial"/>
                <w:b/>
              </w:rPr>
              <w:t xml:space="preserve"> </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4AF22004" w14:textId="77777777" w:rsidR="00345682" w:rsidRDefault="00345682" w:rsidP="00345682">
            <w:pPr>
              <w:rPr>
                <w:rFonts w:ascii="Arial" w:hAnsi="Arial"/>
              </w:rPr>
            </w:pPr>
          </w:p>
          <w:p w14:paraId="16C8E718" w14:textId="53BB350C" w:rsidR="00F576B8" w:rsidRPr="00040D89" w:rsidRDefault="00345682" w:rsidP="00F50A85">
            <w:pPr>
              <w:rPr>
                <w:rFonts w:ascii="Arial" w:hAnsi="Arial"/>
              </w:rPr>
            </w:pPr>
            <w:r w:rsidRPr="00B74D70">
              <w:rPr>
                <w:rFonts w:ascii="Arial" w:hAnsi="Arial"/>
              </w:rPr>
              <w:t>The IGF meet</w:t>
            </w:r>
            <w:r>
              <w:rPr>
                <w:rFonts w:ascii="Arial" w:hAnsi="Arial"/>
              </w:rPr>
              <w:t>ing will be a global conference and</w:t>
            </w:r>
            <w:r w:rsidRPr="00B74D70">
              <w:rPr>
                <w:rFonts w:ascii="Arial" w:hAnsi="Arial"/>
              </w:rPr>
              <w:t xml:space="preserve"> typically </w:t>
            </w:r>
            <w:r>
              <w:rPr>
                <w:rFonts w:ascii="Arial" w:hAnsi="Arial"/>
              </w:rPr>
              <w:t>attracts</w:t>
            </w:r>
            <w:r w:rsidRPr="00B74D70">
              <w:rPr>
                <w:rFonts w:ascii="Arial" w:hAnsi="Arial"/>
              </w:rPr>
              <w:t xml:space="preserve"> 1,500-2,000 participants from across the world. </w:t>
            </w:r>
            <w:r>
              <w:rPr>
                <w:rFonts w:ascii="Arial" w:hAnsi="Arial"/>
              </w:rPr>
              <w:t xml:space="preserve">Per usual there should be a significant </w:t>
            </w:r>
            <w:r w:rsidRPr="00B74D70">
              <w:rPr>
                <w:rFonts w:ascii="Arial" w:hAnsi="Arial"/>
              </w:rPr>
              <w:t xml:space="preserve">civil society </w:t>
            </w:r>
            <w:r>
              <w:rPr>
                <w:rFonts w:ascii="Arial" w:hAnsi="Arial"/>
              </w:rPr>
              <w:t>presence, including from</w:t>
            </w:r>
            <w:r w:rsidR="003D4FF9">
              <w:rPr>
                <w:rFonts w:ascii="Arial" w:hAnsi="Arial"/>
              </w:rPr>
              <w:t xml:space="preserve"> within</w:t>
            </w:r>
            <w:r>
              <w:rPr>
                <w:rFonts w:ascii="Arial" w:hAnsi="Arial"/>
              </w:rPr>
              <w:t xml:space="preserve"> the region</w:t>
            </w:r>
            <w:r w:rsidRPr="00B74D70">
              <w:rPr>
                <w:rFonts w:ascii="Arial" w:hAnsi="Arial"/>
              </w:rPr>
              <w:t>, and we will seek to target our outreach accordingly.</w:t>
            </w:r>
          </w:p>
          <w:p w14:paraId="3803BBEA" w14:textId="77777777" w:rsidR="00B57027" w:rsidRDefault="00B57027" w:rsidP="00F50A85">
            <w:pPr>
              <w:rPr>
                <w:b/>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4FEEF1B0" w14:textId="77777777" w:rsidR="003D4FF9" w:rsidRDefault="003D4FF9" w:rsidP="00345682">
            <w:pPr>
              <w:pStyle w:val="FormHeading1"/>
              <w:rPr>
                <w:b w:val="0"/>
                <w:smallCaps w:val="0"/>
                <w:noProof w:val="0"/>
                <w:sz w:val="20"/>
              </w:rPr>
            </w:pPr>
          </w:p>
          <w:p w14:paraId="015D3137" w14:textId="4F90E68B" w:rsidR="00345682" w:rsidRPr="00B74D70" w:rsidRDefault="00345682" w:rsidP="00345682">
            <w:pPr>
              <w:pStyle w:val="FormHeading1"/>
              <w:rPr>
                <w:b w:val="0"/>
                <w:smallCaps w:val="0"/>
                <w:noProof w:val="0"/>
                <w:sz w:val="20"/>
              </w:rPr>
            </w:pPr>
            <w:r w:rsidRPr="00B74D70">
              <w:rPr>
                <w:b w:val="0"/>
                <w:smallCaps w:val="0"/>
                <w:noProof w:val="0"/>
                <w:sz w:val="20"/>
              </w:rPr>
              <w:t xml:space="preserve">Greater visibility and understanding of the role of </w:t>
            </w:r>
            <w:r>
              <w:rPr>
                <w:b w:val="0"/>
                <w:smallCaps w:val="0"/>
                <w:noProof w:val="0"/>
                <w:sz w:val="20"/>
              </w:rPr>
              <w:t>noncommercial user/civil society representatives</w:t>
            </w:r>
            <w:r w:rsidRPr="00B74D70">
              <w:rPr>
                <w:b w:val="0"/>
                <w:smallCaps w:val="0"/>
                <w:noProof w:val="0"/>
                <w:sz w:val="20"/>
              </w:rPr>
              <w:t xml:space="preserve"> in GNSO/ICANN processes, and of the ICANN multistakeholder model more generally.  </w:t>
            </w:r>
            <w:r>
              <w:rPr>
                <w:b w:val="0"/>
                <w:smallCaps w:val="0"/>
                <w:noProof w:val="0"/>
                <w:sz w:val="20"/>
              </w:rPr>
              <w:t xml:space="preserve">Enhanced </w:t>
            </w:r>
            <w:r w:rsidRPr="00B74D70">
              <w:rPr>
                <w:b w:val="0"/>
                <w:smallCaps w:val="0"/>
                <w:noProof w:val="0"/>
                <w:sz w:val="20"/>
              </w:rPr>
              <w:t xml:space="preserve">understanding </w:t>
            </w:r>
            <w:r>
              <w:rPr>
                <w:b w:val="0"/>
                <w:smallCaps w:val="0"/>
                <w:noProof w:val="0"/>
                <w:sz w:val="20"/>
              </w:rPr>
              <w:t xml:space="preserve">by attendees </w:t>
            </w:r>
            <w:r w:rsidRPr="00B74D70">
              <w:rPr>
                <w:b w:val="0"/>
                <w:smallCaps w:val="0"/>
                <w:noProof w:val="0"/>
                <w:sz w:val="20"/>
              </w:rPr>
              <w:t>of the</w:t>
            </w:r>
            <w:r>
              <w:rPr>
                <w:b w:val="0"/>
                <w:smallCaps w:val="0"/>
                <w:noProof w:val="0"/>
                <w:sz w:val="20"/>
              </w:rPr>
              <w:t xml:space="preserve"> global public interest</w:t>
            </w:r>
            <w:r w:rsidRPr="00B74D70">
              <w:rPr>
                <w:b w:val="0"/>
                <w:smallCaps w:val="0"/>
                <w:noProof w:val="0"/>
                <w:sz w:val="20"/>
              </w:rPr>
              <w:t xml:space="preserve"> </w:t>
            </w:r>
            <w:r>
              <w:rPr>
                <w:b w:val="0"/>
                <w:smallCaps w:val="0"/>
                <w:noProof w:val="0"/>
                <w:sz w:val="20"/>
              </w:rPr>
              <w:t xml:space="preserve">issues associated with ICANN globalization, the roles of governments and civil </w:t>
            </w:r>
            <w:r w:rsidR="003B17EF">
              <w:rPr>
                <w:b w:val="0"/>
                <w:smallCaps w:val="0"/>
                <w:noProof w:val="0"/>
                <w:sz w:val="20"/>
              </w:rPr>
              <w:t>society in the new gTLD program and other ICANN initiatives,</w:t>
            </w:r>
            <w:r>
              <w:rPr>
                <w:b w:val="0"/>
                <w:smallCaps w:val="0"/>
                <w:noProof w:val="0"/>
                <w:sz w:val="20"/>
              </w:rPr>
              <w:t xml:space="preserve"> etc.</w:t>
            </w:r>
            <w:r w:rsidRPr="00B74D70">
              <w:rPr>
                <w:b w:val="0"/>
                <w:smallCaps w:val="0"/>
                <w:noProof w:val="0"/>
                <w:sz w:val="20"/>
              </w:rPr>
              <w:t xml:space="preserve">  Increased contacts</w:t>
            </w:r>
            <w:r>
              <w:rPr>
                <w:b w:val="0"/>
                <w:smallCaps w:val="0"/>
                <w:noProof w:val="0"/>
                <w:sz w:val="20"/>
              </w:rPr>
              <w:t xml:space="preserve"> with diverse stakeholders,</w:t>
            </w:r>
            <w:r w:rsidRPr="00B74D70">
              <w:rPr>
                <w:b w:val="0"/>
                <w:smallCaps w:val="0"/>
                <w:noProof w:val="0"/>
                <w:sz w:val="20"/>
              </w:rPr>
              <w:t xml:space="preserve"> and </w:t>
            </w:r>
            <w:r>
              <w:rPr>
                <w:b w:val="0"/>
                <w:smallCaps w:val="0"/>
                <w:noProof w:val="0"/>
                <w:sz w:val="20"/>
              </w:rPr>
              <w:t xml:space="preserve">increased </w:t>
            </w:r>
            <w:r w:rsidRPr="00B74D70">
              <w:rPr>
                <w:b w:val="0"/>
                <w:smallCaps w:val="0"/>
                <w:noProof w:val="0"/>
                <w:sz w:val="20"/>
              </w:rPr>
              <w:t>NCUC membership</w:t>
            </w:r>
            <w:r>
              <w:rPr>
                <w:b w:val="0"/>
                <w:smallCaps w:val="0"/>
                <w:noProof w:val="0"/>
                <w:sz w:val="20"/>
              </w:rPr>
              <w:t xml:space="preserve">, per our </w:t>
            </w:r>
            <w:r w:rsidR="003D4FF9">
              <w:rPr>
                <w:b w:val="0"/>
                <w:smallCaps w:val="0"/>
                <w:noProof w:val="0"/>
                <w:sz w:val="20"/>
              </w:rPr>
              <w:t>previous</w:t>
            </w:r>
            <w:r>
              <w:rPr>
                <w:b w:val="0"/>
                <w:smallCaps w:val="0"/>
                <w:noProof w:val="0"/>
                <w:sz w:val="20"/>
              </w:rPr>
              <w:t xml:space="preserve"> experience</w:t>
            </w:r>
            <w:r w:rsidR="003D4FF9">
              <w:rPr>
                <w:b w:val="0"/>
                <w:smallCaps w:val="0"/>
                <w:noProof w:val="0"/>
                <w:sz w:val="20"/>
              </w:rPr>
              <w:t>s</w:t>
            </w:r>
            <w:r w:rsidRPr="00B74D70">
              <w:rPr>
                <w:b w:val="0"/>
                <w:smallCaps w:val="0"/>
                <w:noProof w:val="0"/>
                <w:sz w:val="20"/>
              </w:rPr>
              <w:t>.</w:t>
            </w:r>
          </w:p>
          <w:p w14:paraId="2419FA9E" w14:textId="77777777" w:rsidR="00B57027" w:rsidRDefault="00B57027" w:rsidP="009933BD">
            <w:pPr>
              <w:pStyle w:val="FormHeading1"/>
              <w:rPr>
                <w:smallCaps w:val="0"/>
                <w:noProof w:val="0"/>
                <w:sz w:val="18"/>
              </w:rPr>
            </w:pP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345682" w14:paraId="74F7B8CD" w14:textId="77777777" w:rsidTr="00345682">
        <w:trPr>
          <w:trHeight w:val="462"/>
        </w:trPr>
        <w:tc>
          <w:tcPr>
            <w:tcW w:w="10260" w:type="dxa"/>
            <w:tcBorders>
              <w:top w:val="single" w:sz="6" w:space="0" w:color="auto"/>
              <w:left w:val="single" w:sz="6" w:space="0" w:color="auto"/>
              <w:bottom w:val="single" w:sz="6" w:space="0" w:color="auto"/>
              <w:right w:val="single" w:sz="6" w:space="0" w:color="auto"/>
            </w:tcBorders>
          </w:tcPr>
          <w:p w14:paraId="65A06E93" w14:textId="77777777" w:rsidR="00345682" w:rsidRDefault="00345682" w:rsidP="00345682">
            <w:pPr>
              <w:rPr>
                <w:rFonts w:ascii="Arial" w:hAnsi="Arial"/>
                <w:lang w:eastAsia="zh-TW"/>
              </w:rPr>
            </w:pPr>
          </w:p>
          <w:p w14:paraId="693A5BFE" w14:textId="751DB9C0" w:rsidR="00345682" w:rsidRDefault="00345682" w:rsidP="00345682">
            <w:pPr>
              <w:rPr>
                <w:rFonts w:ascii="Arial" w:hAnsi="Arial"/>
              </w:rPr>
            </w:pPr>
            <w:r>
              <w:rPr>
                <w:rFonts w:ascii="Arial" w:hAnsi="Arial"/>
              </w:rPr>
              <w:t>Number of attendees and quality of</w:t>
            </w:r>
            <w:r w:rsidRPr="00B74D70">
              <w:rPr>
                <w:rFonts w:ascii="Arial" w:hAnsi="Arial"/>
              </w:rPr>
              <w:t xml:space="preserve"> engagement at the workshops.  Number of new NCUC </w:t>
            </w:r>
            <w:r>
              <w:rPr>
                <w:rFonts w:ascii="Arial" w:hAnsi="Arial"/>
              </w:rPr>
              <w:t>membership applications</w:t>
            </w:r>
            <w:r w:rsidRPr="00B74D70">
              <w:rPr>
                <w:rFonts w:ascii="Arial" w:hAnsi="Arial"/>
              </w:rPr>
              <w:t xml:space="preserve">.  </w:t>
            </w:r>
            <w:r>
              <w:rPr>
                <w:rFonts w:ascii="Arial" w:hAnsi="Arial"/>
              </w:rPr>
              <w:t xml:space="preserve">Number </w:t>
            </w:r>
            <w:r w:rsidRPr="00B74D70">
              <w:rPr>
                <w:rFonts w:ascii="Arial" w:hAnsi="Arial"/>
              </w:rPr>
              <w:t xml:space="preserve">and </w:t>
            </w:r>
            <w:r>
              <w:rPr>
                <w:rFonts w:ascii="Arial" w:hAnsi="Arial"/>
              </w:rPr>
              <w:t xml:space="preserve">quality of </w:t>
            </w:r>
            <w:r w:rsidR="003B17EF">
              <w:rPr>
                <w:rFonts w:ascii="Arial" w:hAnsi="Arial"/>
              </w:rPr>
              <w:t xml:space="preserve">other </w:t>
            </w:r>
            <w:r>
              <w:rPr>
                <w:rFonts w:ascii="Arial" w:hAnsi="Arial"/>
              </w:rPr>
              <w:t xml:space="preserve">events </w:t>
            </w:r>
            <w:r w:rsidR="003B17EF">
              <w:rPr>
                <w:rFonts w:ascii="Arial" w:hAnsi="Arial"/>
              </w:rPr>
              <w:t xml:space="preserve">and dialogues </w:t>
            </w:r>
            <w:r>
              <w:rPr>
                <w:rFonts w:ascii="Arial" w:hAnsi="Arial"/>
              </w:rPr>
              <w:t xml:space="preserve">we participate in, and </w:t>
            </w:r>
            <w:r w:rsidRPr="00B74D70">
              <w:rPr>
                <w:rFonts w:ascii="Arial" w:hAnsi="Arial"/>
              </w:rPr>
              <w:t xml:space="preserve">of </w:t>
            </w:r>
            <w:r w:rsidR="003B17EF">
              <w:rPr>
                <w:rFonts w:ascii="Arial" w:hAnsi="Arial"/>
              </w:rPr>
              <w:t xml:space="preserve">the </w:t>
            </w:r>
            <w:r w:rsidRPr="00B74D70">
              <w:rPr>
                <w:rFonts w:ascii="Arial" w:hAnsi="Arial"/>
              </w:rPr>
              <w:t xml:space="preserve">contacts and relations </w:t>
            </w:r>
            <w:r w:rsidR="003B17EF">
              <w:rPr>
                <w:rFonts w:ascii="Arial" w:hAnsi="Arial"/>
              </w:rPr>
              <w:t>we establish</w:t>
            </w:r>
            <w:r>
              <w:rPr>
                <w:rFonts w:ascii="Arial" w:hAnsi="Arial"/>
              </w:rPr>
              <w:t xml:space="preserve">. </w:t>
            </w:r>
          </w:p>
          <w:p w14:paraId="56BEE8D9" w14:textId="77777777" w:rsidR="003D4FF9" w:rsidRDefault="003D4FF9" w:rsidP="00345682">
            <w:pPr>
              <w:rPr>
                <w:b/>
              </w:rPr>
            </w:pPr>
          </w:p>
        </w:tc>
      </w:tr>
    </w:tbl>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6AA09156" w:rsidR="003223B8" w:rsidRPr="00F576B8" w:rsidRDefault="00345682" w:rsidP="003223B8">
                  <w:pPr>
                    <w:pStyle w:val="TableText"/>
                    <w:rPr>
                      <w:noProof w:val="0"/>
                    </w:rPr>
                  </w:pPr>
                  <w:r>
                    <w:rPr>
                      <w:noProof w:val="0"/>
                    </w:rPr>
                    <w:t>N/A</w:t>
                  </w: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bl>
          <w:p w14:paraId="32CF2291" w14:textId="77777777" w:rsidR="00812455" w:rsidRDefault="00812455" w:rsidP="00946200">
            <w:pPr>
              <w:pStyle w:val="TableText"/>
              <w:rPr>
                <w:noProof w:val="0"/>
              </w:rPr>
            </w:pPr>
          </w:p>
          <w:p w14:paraId="4F6DE6B9" w14:textId="77777777" w:rsidR="001912A9" w:rsidRDefault="001912A9" w:rsidP="00946200">
            <w:pPr>
              <w:pStyle w:val="TableText"/>
              <w:rPr>
                <w:noProof w:val="0"/>
              </w:rPr>
            </w:pPr>
          </w:p>
          <w:p w14:paraId="3CDD8132" w14:textId="77777777" w:rsidR="001912A9" w:rsidRDefault="001912A9"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lastRenderedPageBreak/>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EE80A1E" w14:textId="77777777" w:rsidR="00812455" w:rsidRDefault="00345682" w:rsidP="00946200">
            <w:pPr>
              <w:pStyle w:val="TableText"/>
              <w:rPr>
                <w:noProof w:val="0"/>
              </w:rPr>
            </w:pPr>
            <w:r>
              <w:rPr>
                <w:noProof w:val="0"/>
              </w:rPr>
              <w:t>N/A</w:t>
            </w:r>
          </w:p>
          <w:p w14:paraId="26D921DA" w14:textId="77777777" w:rsidR="003D4FF9" w:rsidRDefault="003D4FF9" w:rsidP="00946200">
            <w:pPr>
              <w:pStyle w:val="TableText"/>
              <w:rPr>
                <w:noProof w:val="0"/>
              </w:rPr>
            </w:pPr>
          </w:p>
          <w:p w14:paraId="72F472E5" w14:textId="77777777" w:rsidR="003D4FF9" w:rsidRDefault="003D4FF9" w:rsidP="00946200">
            <w:pPr>
              <w:pStyle w:val="TableText"/>
              <w:rPr>
                <w:noProof w:val="0"/>
              </w:rPr>
            </w:pPr>
          </w:p>
          <w:p w14:paraId="26E8BF11" w14:textId="77777777" w:rsidR="003D4FF9" w:rsidRDefault="003D4FF9" w:rsidP="00946200">
            <w:pPr>
              <w:pStyle w:val="TableText"/>
              <w:rPr>
                <w:noProof w:val="0"/>
              </w:rPr>
            </w:pPr>
          </w:p>
          <w:p w14:paraId="49F6BD07" w14:textId="77777777" w:rsidR="003D4FF9" w:rsidRDefault="003D4FF9" w:rsidP="00946200">
            <w:pPr>
              <w:pStyle w:val="TableText"/>
              <w:rPr>
                <w:noProof w:val="0"/>
              </w:rPr>
            </w:pPr>
          </w:p>
          <w:p w14:paraId="7D3FF101" w14:textId="2CF48834" w:rsidR="003D4FF9" w:rsidRDefault="003D4FF9" w:rsidP="00946200">
            <w:pPr>
              <w:pStyle w:val="TableText"/>
              <w:rPr>
                <w:noProof w:val="0"/>
              </w:rPr>
            </w:pPr>
          </w:p>
        </w:tc>
      </w:tr>
      <w:tr w:rsidR="00946200" w14:paraId="5BFE37CD" w14:textId="77777777">
        <w:tc>
          <w:tcPr>
            <w:tcW w:w="10260" w:type="dxa"/>
            <w:tcBorders>
              <w:top w:val="nil"/>
              <w:bottom w:val="single" w:sz="6" w:space="0" w:color="auto"/>
            </w:tcBorders>
            <w:shd w:val="clear" w:color="auto" w:fill="C0C0C0"/>
          </w:tcPr>
          <w:p w14:paraId="3B80EC83" w14:textId="433E53EA" w:rsidR="00946200" w:rsidRDefault="001B203B" w:rsidP="006E71B7">
            <w:pPr>
              <w:pStyle w:val="FormHeading1"/>
              <w:rPr>
                <w:noProof w:val="0"/>
              </w:rPr>
            </w:pPr>
            <w:r>
              <w:rPr>
                <w:smallCaps w:val="0"/>
                <w:noProof w:val="0"/>
                <w:sz w:val="18"/>
              </w:rPr>
              <w:t>Te</w:t>
            </w:r>
            <w:r w:rsidR="00345682">
              <w:rPr>
                <w:smallCaps w:val="0"/>
                <w:noProof w:val="0"/>
                <w:sz w:val="18"/>
              </w:rPr>
              <w:t>c</w:t>
            </w:r>
            <w:r w:rsidR="006F34E0">
              <w:rPr>
                <w:smallCaps w:val="0"/>
                <w:noProof w:val="0"/>
                <w:sz w:val="18"/>
              </w:rPr>
              <w:t>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49261C90" w:rsidR="008F4418" w:rsidRDefault="00345682" w:rsidP="00946200">
            <w:pPr>
              <w:pStyle w:val="TableText"/>
              <w:rPr>
                <w:noProof w:val="0"/>
              </w:rPr>
            </w:pPr>
            <w:r>
              <w:rPr>
                <w:noProof w:val="0"/>
              </w:rPr>
              <w:t>N/A</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56229102" w:rsidR="008F4418" w:rsidRDefault="00345682" w:rsidP="001B203B">
            <w:pPr>
              <w:pStyle w:val="TableText"/>
              <w:rPr>
                <w:noProof w:val="0"/>
              </w:rPr>
            </w:pPr>
            <w:r>
              <w:rPr>
                <w:noProof w:val="0"/>
              </w:rPr>
              <w:t>N/A</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19BE84D2" w14:textId="77777777" w:rsidR="003D4FF9" w:rsidRDefault="003D4FF9" w:rsidP="00A8570C">
            <w:pPr>
              <w:pStyle w:val="TableText"/>
              <w:rPr>
                <w:noProof w:val="0"/>
              </w:rPr>
            </w:pPr>
          </w:p>
          <w:p w14:paraId="106C02C0" w14:textId="53A27E89" w:rsidR="001B203B" w:rsidRDefault="00345682" w:rsidP="00E763E2">
            <w:pPr>
              <w:pStyle w:val="TableText"/>
              <w:rPr>
                <w:noProof w:val="0"/>
              </w:rPr>
            </w:pPr>
            <w:r>
              <w:rPr>
                <w:noProof w:val="0"/>
              </w:rPr>
              <w:t xml:space="preserve">The IGF meeting officially begins Tuesday </w:t>
            </w:r>
            <w:r w:rsidR="00E763E2">
              <w:rPr>
                <w:noProof w:val="0"/>
              </w:rPr>
              <w:t>10 November</w:t>
            </w:r>
            <w:r>
              <w:rPr>
                <w:noProof w:val="0"/>
              </w:rPr>
              <w:t xml:space="preserve"> and concludes Friday </w:t>
            </w:r>
            <w:r w:rsidR="00E763E2">
              <w:rPr>
                <w:noProof w:val="0"/>
              </w:rPr>
              <w:t>13 November</w:t>
            </w:r>
            <w:r>
              <w:rPr>
                <w:noProof w:val="0"/>
              </w:rPr>
              <w:t xml:space="preserve">.  However, the formal meeting is only part of the standard IGF experience and outreach opportunities.  As in other years, on the Monday prior there will be a slew of </w:t>
            </w:r>
            <w:r w:rsidR="00E763E2">
              <w:rPr>
                <w:noProof w:val="0"/>
              </w:rPr>
              <w:t>important pre-events, e.g. the M</w:t>
            </w:r>
            <w:r>
              <w:rPr>
                <w:noProof w:val="0"/>
              </w:rPr>
              <w:t xml:space="preserve">inisterial meeting, the Global Internet Governance Academic Network meeting, the Internet Society and Association for Progressive Communications (an NCUC member) meetings, </w:t>
            </w:r>
            <w:r w:rsidR="00E763E2">
              <w:rPr>
                <w:noProof w:val="0"/>
              </w:rPr>
              <w:t>and likely others in which NCUC representatives would be heavily involved</w:t>
            </w:r>
            <w:r>
              <w:rPr>
                <w:noProof w:val="0"/>
              </w:rPr>
              <w:t xml:space="preserve">.  Similarly, on the Saturday-Sunday prior there will be the Best Bits meeting, which is an important global civil society gathering where dozens of organizations will </w:t>
            </w:r>
            <w:r w:rsidR="003B17EF">
              <w:rPr>
                <w:noProof w:val="0"/>
              </w:rPr>
              <w:t>develop</w:t>
            </w:r>
            <w:r>
              <w:rPr>
                <w:noProof w:val="0"/>
              </w:rPr>
              <w:t xml:space="preserve"> policy statements </w:t>
            </w:r>
            <w:r w:rsidR="003B17EF">
              <w:rPr>
                <w:noProof w:val="0"/>
              </w:rPr>
              <w:t xml:space="preserve">on </w:t>
            </w:r>
            <w:r w:rsidR="00E763E2">
              <w:rPr>
                <w:noProof w:val="0"/>
              </w:rPr>
              <w:t>matters of concern to ICANN</w:t>
            </w:r>
            <w:r>
              <w:rPr>
                <w:noProof w:val="0"/>
              </w:rPr>
              <w:t xml:space="preserve">.  It is very important for NCUC representatives to be able to </w:t>
            </w:r>
            <w:r w:rsidR="003B17EF">
              <w:rPr>
                <w:noProof w:val="0"/>
              </w:rPr>
              <w:t>participate in</w:t>
            </w:r>
            <w:r>
              <w:rPr>
                <w:noProof w:val="0"/>
              </w:rPr>
              <w:t xml:space="preserve"> all these events.  Accordingly, we request travel support </w:t>
            </w:r>
            <w:r>
              <w:rPr>
                <w:noProof w:val="0"/>
                <w:lang w:eastAsia="zh-TW"/>
              </w:rPr>
              <w:t xml:space="preserve">for </w:t>
            </w:r>
            <w:r w:rsidR="00E763E2">
              <w:rPr>
                <w:noProof w:val="0"/>
                <w:lang w:eastAsia="zh-TW"/>
              </w:rPr>
              <w:t>our</w:t>
            </w:r>
            <w:r>
              <w:rPr>
                <w:noProof w:val="0"/>
                <w:lang w:eastAsia="zh-TW"/>
              </w:rPr>
              <w:t xml:space="preserve"> two representatives</w:t>
            </w:r>
            <w:r>
              <w:rPr>
                <w:noProof w:val="0"/>
              </w:rPr>
              <w:t xml:space="preserve"> for a slightly extended time frame, arriving Friday </w:t>
            </w:r>
            <w:r w:rsidR="00E763E2">
              <w:rPr>
                <w:noProof w:val="0"/>
              </w:rPr>
              <w:t>6 November</w:t>
            </w:r>
            <w:r>
              <w:rPr>
                <w:noProof w:val="0"/>
              </w:rPr>
              <w:t xml:space="preserve"> and departing Saturday </w:t>
            </w:r>
            <w:r w:rsidR="00E763E2">
              <w:rPr>
                <w:noProof w:val="0"/>
              </w:rPr>
              <w:t>14 November</w:t>
            </w:r>
            <w:r>
              <w:rPr>
                <w:noProof w:val="0"/>
              </w:rPr>
              <w:t>.</w:t>
            </w:r>
          </w:p>
          <w:p w14:paraId="2FADB3C4" w14:textId="729EFCDD" w:rsidR="003B17EF" w:rsidRDefault="003B17EF" w:rsidP="00E763E2">
            <w:pPr>
              <w:pStyle w:val="TableText"/>
              <w:rPr>
                <w:noProof w:val="0"/>
              </w:rPr>
            </w:pP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CCA5800" w14:textId="77777777" w:rsidR="009A058F" w:rsidRDefault="009A058F" w:rsidP="00A8570C">
            <w:pPr>
              <w:pStyle w:val="TableText"/>
              <w:rPr>
                <w:noProof w:val="0"/>
                <w:lang w:eastAsia="zh-TW"/>
              </w:rPr>
            </w:pPr>
          </w:p>
          <w:p w14:paraId="35F536AF" w14:textId="51D05DAB" w:rsidR="00F576B8" w:rsidRDefault="00345682" w:rsidP="00A8570C">
            <w:pPr>
              <w:pStyle w:val="TableText"/>
              <w:rPr>
                <w:noProof w:val="0"/>
                <w:lang w:eastAsia="zh-TW"/>
              </w:rPr>
            </w:pPr>
            <w:r>
              <w:rPr>
                <w:noProof w:val="0"/>
                <w:lang w:eastAsia="zh-TW"/>
              </w:rPr>
              <w:t xml:space="preserve">Airfare, lodging and per diem for two representatives, in accordance with </w:t>
            </w:r>
            <w:r w:rsidRPr="007F45FA">
              <w:rPr>
                <w:noProof w:val="0"/>
                <w:lang w:eastAsia="zh-TW"/>
              </w:rPr>
              <w:t>ICANN community travel guidelines.</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42D71F16" w:rsidR="00A8570C" w:rsidRDefault="00345682" w:rsidP="00A8570C">
            <w:pPr>
              <w:pStyle w:val="TableText"/>
              <w:rPr>
                <w:noProof w:val="0"/>
              </w:rPr>
            </w:pPr>
            <w:r>
              <w:rPr>
                <w:noProof w:val="0"/>
              </w:rPr>
              <w:t>N/A</w:t>
            </w:r>
          </w:p>
        </w:tc>
      </w:tr>
    </w:tbl>
    <w:p w14:paraId="0D66D5B6" w14:textId="77777777" w:rsidR="00946200" w:rsidRDefault="00946200">
      <w:pPr>
        <w:rPr>
          <w:rFonts w:ascii="Arial" w:hAnsi="Arial"/>
        </w:rPr>
      </w:pPr>
    </w:p>
    <w:sectPr w:rsidR="00946200"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7487" w14:textId="77777777" w:rsidR="003B17EF" w:rsidRDefault="003B17EF">
      <w:r>
        <w:separator/>
      </w:r>
    </w:p>
  </w:endnote>
  <w:endnote w:type="continuationSeparator" w:id="0">
    <w:p w14:paraId="62EB09C9" w14:textId="77777777" w:rsidR="003B17EF" w:rsidRDefault="003B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FD19" w14:textId="77777777" w:rsidR="003B17EF" w:rsidRDefault="003B17EF"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EC9730"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912A9">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1912A9">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5307" w14:textId="77777777" w:rsidR="003B17EF" w:rsidRDefault="003B17EF">
      <w:r>
        <w:separator/>
      </w:r>
    </w:p>
  </w:footnote>
  <w:footnote w:type="continuationSeparator" w:id="0">
    <w:p w14:paraId="02871F44" w14:textId="77777777" w:rsidR="003B17EF" w:rsidRDefault="003B17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3B17EF" w14:paraId="65F2B9B5" w14:textId="77777777">
      <w:trPr>
        <w:trHeight w:val="558"/>
      </w:trPr>
      <w:tc>
        <w:tcPr>
          <w:tcW w:w="2871" w:type="dxa"/>
          <w:tcBorders>
            <w:top w:val="nil"/>
            <w:left w:val="nil"/>
            <w:bottom w:val="nil"/>
            <w:right w:val="nil"/>
          </w:tcBorders>
        </w:tcPr>
        <w:p w14:paraId="432A82B0" w14:textId="77777777" w:rsidR="003B17EF" w:rsidRDefault="003B17EF">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34D84018" w:rsidR="003B17EF" w:rsidRDefault="003B17EF" w:rsidP="009F0137">
          <w:pPr>
            <w:pStyle w:val="Header"/>
            <w:jc w:val="right"/>
            <w:rPr>
              <w:rFonts w:ascii="Arial" w:hAnsi="Arial"/>
              <w:b/>
              <w:color w:val="FFFFFF"/>
              <w:sz w:val="28"/>
            </w:rPr>
          </w:pPr>
          <w:r>
            <w:rPr>
              <w:rFonts w:ascii="Arial" w:hAnsi="Arial"/>
              <w:b/>
              <w:color w:val="FFFFFF"/>
              <w:sz w:val="32"/>
            </w:rPr>
            <w:t>FY16</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2BCB3796" w14:textId="77777777" w:rsidR="003B17EF" w:rsidRDefault="003B17EF">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2"/>
  </w:num>
  <w:num w:numId="5">
    <w:abstractNumId w:val="3"/>
  </w:num>
  <w:num w:numId="6">
    <w:abstractNumId w:val="18"/>
  </w:num>
  <w:num w:numId="7">
    <w:abstractNumId w:val="5"/>
  </w:num>
  <w:num w:numId="8">
    <w:abstractNumId w:val="0"/>
  </w:num>
  <w:num w:numId="9">
    <w:abstractNumId w:val="9"/>
  </w:num>
  <w:num w:numId="10">
    <w:abstractNumId w:val="8"/>
  </w:num>
  <w:num w:numId="11">
    <w:abstractNumId w:val="17"/>
  </w:num>
  <w:num w:numId="12">
    <w:abstractNumId w:val="21"/>
  </w:num>
  <w:num w:numId="13">
    <w:abstractNumId w:val="1"/>
  </w:num>
  <w:num w:numId="14">
    <w:abstractNumId w:val="7"/>
  </w:num>
  <w:num w:numId="15">
    <w:abstractNumId w:val="15"/>
  </w:num>
  <w:num w:numId="16">
    <w:abstractNumId w:val="23"/>
  </w:num>
  <w:num w:numId="17">
    <w:abstractNumId w:val="4"/>
  </w:num>
  <w:num w:numId="18">
    <w:abstractNumId w:val="1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0D89"/>
    <w:rsid w:val="00044B6C"/>
    <w:rsid w:val="00045A2A"/>
    <w:rsid w:val="00052B22"/>
    <w:rsid w:val="00057FAB"/>
    <w:rsid w:val="0007794D"/>
    <w:rsid w:val="00087226"/>
    <w:rsid w:val="00101488"/>
    <w:rsid w:val="00111C1A"/>
    <w:rsid w:val="00116D5D"/>
    <w:rsid w:val="001268ED"/>
    <w:rsid w:val="001375CA"/>
    <w:rsid w:val="00153363"/>
    <w:rsid w:val="00156975"/>
    <w:rsid w:val="001912A9"/>
    <w:rsid w:val="00194C42"/>
    <w:rsid w:val="001B203B"/>
    <w:rsid w:val="001B79F2"/>
    <w:rsid w:val="001C0DF0"/>
    <w:rsid w:val="001C313A"/>
    <w:rsid w:val="001D2E5A"/>
    <w:rsid w:val="002123F8"/>
    <w:rsid w:val="00214283"/>
    <w:rsid w:val="00214BC5"/>
    <w:rsid w:val="00233567"/>
    <w:rsid w:val="00255477"/>
    <w:rsid w:val="00257880"/>
    <w:rsid w:val="002D05C0"/>
    <w:rsid w:val="002F444A"/>
    <w:rsid w:val="003223B8"/>
    <w:rsid w:val="00327418"/>
    <w:rsid w:val="00345682"/>
    <w:rsid w:val="00376492"/>
    <w:rsid w:val="003A7367"/>
    <w:rsid w:val="003B17EF"/>
    <w:rsid w:val="003D2FC2"/>
    <w:rsid w:val="003D4FF9"/>
    <w:rsid w:val="003F231E"/>
    <w:rsid w:val="003F32A0"/>
    <w:rsid w:val="00420E54"/>
    <w:rsid w:val="005145C9"/>
    <w:rsid w:val="00514B5C"/>
    <w:rsid w:val="005300CD"/>
    <w:rsid w:val="00542865"/>
    <w:rsid w:val="005428F3"/>
    <w:rsid w:val="005A15AF"/>
    <w:rsid w:val="005D76FA"/>
    <w:rsid w:val="006003A1"/>
    <w:rsid w:val="0064760B"/>
    <w:rsid w:val="006E71B7"/>
    <w:rsid w:val="006F34E0"/>
    <w:rsid w:val="00747390"/>
    <w:rsid w:val="00794D7A"/>
    <w:rsid w:val="007C1D31"/>
    <w:rsid w:val="007C438B"/>
    <w:rsid w:val="00812455"/>
    <w:rsid w:val="00836C9F"/>
    <w:rsid w:val="008C27DD"/>
    <w:rsid w:val="008F2EF4"/>
    <w:rsid w:val="008F4418"/>
    <w:rsid w:val="009032EF"/>
    <w:rsid w:val="00946200"/>
    <w:rsid w:val="009676BF"/>
    <w:rsid w:val="009933BD"/>
    <w:rsid w:val="009A058F"/>
    <w:rsid w:val="009A206F"/>
    <w:rsid w:val="009F0137"/>
    <w:rsid w:val="00A32217"/>
    <w:rsid w:val="00A440E5"/>
    <w:rsid w:val="00A45647"/>
    <w:rsid w:val="00A520CB"/>
    <w:rsid w:val="00A75443"/>
    <w:rsid w:val="00A8570C"/>
    <w:rsid w:val="00AA2BDC"/>
    <w:rsid w:val="00AE2210"/>
    <w:rsid w:val="00AE4F8F"/>
    <w:rsid w:val="00B029B7"/>
    <w:rsid w:val="00B06A16"/>
    <w:rsid w:val="00B31C46"/>
    <w:rsid w:val="00B57027"/>
    <w:rsid w:val="00B919CC"/>
    <w:rsid w:val="00B91DDC"/>
    <w:rsid w:val="00B93C76"/>
    <w:rsid w:val="00BE07C4"/>
    <w:rsid w:val="00C25AF0"/>
    <w:rsid w:val="00C56DB3"/>
    <w:rsid w:val="00CB7AEF"/>
    <w:rsid w:val="00CC4C7E"/>
    <w:rsid w:val="00CD143C"/>
    <w:rsid w:val="00CD3520"/>
    <w:rsid w:val="00CE25F6"/>
    <w:rsid w:val="00D037DD"/>
    <w:rsid w:val="00D05A99"/>
    <w:rsid w:val="00D51A69"/>
    <w:rsid w:val="00D54696"/>
    <w:rsid w:val="00D84646"/>
    <w:rsid w:val="00D86C18"/>
    <w:rsid w:val="00DB509A"/>
    <w:rsid w:val="00DC0CAF"/>
    <w:rsid w:val="00DF023D"/>
    <w:rsid w:val="00E24E60"/>
    <w:rsid w:val="00E51700"/>
    <w:rsid w:val="00E763E2"/>
    <w:rsid w:val="00E92776"/>
    <w:rsid w:val="00E968F3"/>
    <w:rsid w:val="00EB3FA1"/>
    <w:rsid w:val="00EE1F95"/>
    <w:rsid w:val="00EF13F9"/>
    <w:rsid w:val="00EF3511"/>
    <w:rsid w:val="00F02B69"/>
    <w:rsid w:val="00F34D86"/>
    <w:rsid w:val="00F50A85"/>
    <w:rsid w:val="00F55153"/>
    <w:rsid w:val="00F55AFA"/>
    <w:rsid w:val="00F576B8"/>
    <w:rsid w:val="00F67EF1"/>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9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William Drake</cp:lastModifiedBy>
  <cp:revision>3</cp:revision>
  <cp:lastPrinted>2013-12-13T19:58:00Z</cp:lastPrinted>
  <dcterms:created xsi:type="dcterms:W3CDTF">2015-02-28T17:31:00Z</dcterms:created>
  <dcterms:modified xsi:type="dcterms:W3CDTF">2015-02-28T17:33:00Z</dcterms:modified>
</cp:coreProperties>
</file>