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color w:val="0d436c"/>
          <w:sz w:val="48"/>
          <w:szCs w:val="48"/>
        </w:rPr>
      </w:pPr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REDLINE:</w:t>
      </w:r>
      <w:r w:rsidDel="00000000" w:rsidR="00000000" w:rsidRPr="00000000">
        <w:rPr>
          <w:b w:val="1"/>
          <w:color w:val="0d436c"/>
          <w:sz w:val="48"/>
          <w:szCs w:val="48"/>
          <w:rtl w:val="0"/>
        </w:rPr>
        <w:t xml:space="preserve"> ICANN Principles of Continuous Improvement</w:t>
      </w:r>
      <w:r w:rsidDel="00000000" w:rsidR="00000000" w:rsidRPr="00000000">
        <w:rPr>
          <w:b w:val="1"/>
          <w:color w:val="0d436c"/>
          <w:sz w:val="48"/>
          <w:szCs w:val="4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color w:val="0d436c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The </w:t>
      </w:r>
      <w:r w:rsidDel="00000000" w:rsidR="00000000" w:rsidRPr="00000000">
        <w:rPr>
          <w:sz w:val="36"/>
          <w:szCs w:val="36"/>
          <w:rtl w:val="0"/>
        </w:rPr>
        <w:t xml:space="preserve">SO, AC, or NomCom</w:t>
      </w:r>
      <w:r w:rsidDel="00000000" w:rsidR="00000000" w:rsidRPr="00000000">
        <w:rPr>
          <w:sz w:val="36"/>
          <w:szCs w:val="36"/>
          <w:rtl w:val="0"/>
        </w:rPr>
        <w:t xml:space="preserve"> is fulfilling its purpose.</w:t>
      </w:r>
    </w:p>
    <w:p w:rsidR="00000000" w:rsidDel="00000000" w:rsidP="00000000" w:rsidRDefault="00000000" w:rsidRPr="00000000" w14:paraId="00000004">
      <w:pPr>
        <w:widowControl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The structures of SO, AC, or NomCom are effective.</w:t>
        <w:br w:type="textWrapping"/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The operations of SO, AC, or NomCom are efficient.</w:t>
        <w:br w:type="textWrapping"/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The SO, AC, or NomCom is accountable internally to its stakeholders and substructures (where applicable), and externally to the wider ICANN community.</w:t>
      </w:r>
      <w:r w:rsidDel="00000000" w:rsidR="00000000" w:rsidRPr="00000000">
        <w:rPr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The SO, AC, or NomCom collaborates to further the mission of ICANN </w:t>
      </w:r>
      <w:r w:rsidDel="00000000" w:rsidR="00000000" w:rsidRPr="00000000">
        <w:rPr>
          <w:sz w:val="36"/>
          <w:szCs w:val="36"/>
          <w:rtl w:val="0"/>
        </w:rPr>
        <w:t xml:space="preserve">and the effectiveness of the ICANN </w:t>
      </w:r>
      <w:r w:rsidDel="00000000" w:rsidR="00000000" w:rsidRPr="00000000">
        <w:rPr>
          <w:b w:val="1"/>
          <w:sz w:val="36"/>
          <w:szCs w:val="36"/>
          <w:rtl w:val="0"/>
        </w:rPr>
        <w:t xml:space="preserve">bottom-up</w:t>
      </w:r>
      <w:r w:rsidDel="00000000" w:rsidR="00000000" w:rsidRPr="00000000">
        <w:rPr>
          <w:sz w:val="36"/>
          <w:szCs w:val="36"/>
          <w:rtl w:val="0"/>
        </w:rPr>
        <w:t xml:space="preserve"> multistakeholder mode</w:t>
      </w:r>
      <w:r w:rsidDel="00000000" w:rsidR="00000000" w:rsidRPr="00000000">
        <w:rPr>
          <w:sz w:val="36"/>
          <w:szCs w:val="36"/>
          <w:rtl w:val="0"/>
        </w:rPr>
        <w:t xml:space="preserve">l.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otnote w:id="0">
    <w:p w:rsidR="00000000" w:rsidDel="00000000" w:rsidP="00000000" w:rsidRDefault="00000000" w:rsidRPr="00000000" w14:paraId="0000000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From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ATRT3 Report, p.73</w:t>
        </w:r>
      </w:hyperlink>
      <w:r w:rsidDel="00000000" w:rsidR="00000000" w:rsidRPr="00000000">
        <w:rPr>
          <w:sz w:val="20"/>
          <w:szCs w:val="20"/>
          <w:rtl w:val="0"/>
        </w:rPr>
        <w:t xml:space="preserve">: “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For SOs and ACs that are composed of substructures, this should apply to their individual substructures and the results of all sub-structures shall be aggregated to generate a result for the given SO or AC.”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cann.org/en/system/files/files/atrt3-report-29may20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