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80CD" w14:textId="1E0A2691" w:rsidR="00DC4937" w:rsidRDefault="00A4245D" w:rsidP="00230DAC">
      <w:pPr>
        <w:rPr>
          <w:rFonts w:ascii="Century Gothic" w:hAnsi="Century Gothic"/>
          <w:sz w:val="20"/>
          <w:szCs w:val="20"/>
        </w:rPr>
      </w:pPr>
      <w:r w:rsidRPr="007B185D">
        <w:rPr>
          <w:rFonts w:ascii="Century Gothic" w:hAnsi="Century Gothic"/>
          <w:sz w:val="20"/>
          <w:szCs w:val="20"/>
        </w:rPr>
        <w:t xml:space="preserve">This file is for illustration of a possible inventory for various </w:t>
      </w:r>
      <w:proofErr w:type="gramStart"/>
      <w:r w:rsidR="004B4DB5">
        <w:rPr>
          <w:rFonts w:ascii="Century Gothic" w:hAnsi="Century Gothic"/>
          <w:sz w:val="20"/>
          <w:szCs w:val="20"/>
        </w:rPr>
        <w:t>In</w:t>
      </w:r>
      <w:proofErr w:type="gramEnd"/>
      <w:r w:rsidR="004B4DB5">
        <w:rPr>
          <w:rFonts w:ascii="Century Gothic" w:hAnsi="Century Gothic"/>
          <w:sz w:val="20"/>
          <w:szCs w:val="20"/>
        </w:rPr>
        <w:t xml:space="preserve"> reach activities</w:t>
      </w:r>
    </w:p>
    <w:p w14:paraId="1B02A26C" w14:textId="77777777" w:rsidR="00DC4937" w:rsidRDefault="00DC4937" w:rsidP="00230DAC">
      <w:pPr>
        <w:rPr>
          <w:rFonts w:ascii="Century Gothic" w:hAnsi="Century Gothic"/>
          <w:sz w:val="20"/>
          <w:szCs w:val="20"/>
        </w:rPr>
      </w:pPr>
    </w:p>
    <w:p w14:paraId="5FF84045" w14:textId="738258C2" w:rsidR="002C42F9" w:rsidRPr="007B185D" w:rsidRDefault="000127A4" w:rsidP="00230DA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7B185D">
        <w:rPr>
          <w:rFonts w:ascii="Century Gothic" w:hAnsi="Century Gothic"/>
          <w:sz w:val="20"/>
          <w:szCs w:val="20"/>
        </w:rPr>
        <w:t xml:space="preserve"> </w:t>
      </w:r>
    </w:p>
    <w:p w14:paraId="0D294A4A" w14:textId="77777777" w:rsidR="000127A4" w:rsidRPr="007B185D" w:rsidRDefault="000127A4">
      <w:pPr>
        <w:rPr>
          <w:rFonts w:ascii="Century Gothic" w:hAnsi="Century Gothic"/>
          <w:sz w:val="20"/>
          <w:szCs w:val="20"/>
        </w:rPr>
      </w:pPr>
    </w:p>
    <w:tbl>
      <w:tblPr>
        <w:tblW w:w="18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2340"/>
        <w:gridCol w:w="1800"/>
        <w:gridCol w:w="2610"/>
        <w:gridCol w:w="1440"/>
        <w:gridCol w:w="1440"/>
        <w:gridCol w:w="1440"/>
        <w:gridCol w:w="1350"/>
        <w:gridCol w:w="3600"/>
      </w:tblGrid>
      <w:tr w:rsidR="00686AE3" w:rsidRPr="007B185D" w14:paraId="571A5460" w14:textId="77777777" w:rsidTr="00C57D11">
        <w:trPr>
          <w:tblHeader/>
        </w:trPr>
        <w:tc>
          <w:tcPr>
            <w:tcW w:w="2610" w:type="dxa"/>
            <w:shd w:val="clear" w:color="auto" w:fill="auto"/>
            <w:vAlign w:val="center"/>
          </w:tcPr>
          <w:p w14:paraId="0413AACA" w14:textId="77777777" w:rsidR="00686AE3" w:rsidRPr="00C57D11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Activity</w:t>
            </w:r>
          </w:p>
        </w:tc>
        <w:tc>
          <w:tcPr>
            <w:tcW w:w="2340" w:type="dxa"/>
            <w:vAlign w:val="center"/>
          </w:tcPr>
          <w:p w14:paraId="018BB9D0" w14:textId="77777777" w:rsidR="00686AE3" w:rsidRPr="00C57D11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641D67" w14:textId="77777777" w:rsidR="00686AE3" w:rsidRPr="00C57D11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C8E523" w14:textId="77777777" w:rsidR="00686AE3" w:rsidRPr="00C57D11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B6A86" w14:textId="77777777" w:rsidR="00686AE3" w:rsidRPr="00C57D11" w:rsidRDefault="00686AE3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5534EC61" w14:textId="77777777" w:rsidR="00C57D11" w:rsidRDefault="00C57D11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</w:p>
          <w:p w14:paraId="4CBE7335" w14:textId="77777777" w:rsidR="00686AE3" w:rsidRPr="00C57D11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Awareness</w:t>
            </w:r>
          </w:p>
          <w:p w14:paraId="2A02655B" w14:textId="5B68562A" w:rsidR="00DC4937" w:rsidRPr="00C57D11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38F72342" w14:textId="7DCD3FEC" w:rsidR="00DC4937" w:rsidRPr="00C57D11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C107496" w14:textId="30C26B6A" w:rsidR="00DC4937" w:rsidRPr="00C57D11" w:rsidRDefault="00DC4937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600" w:type="dxa"/>
            <w:vAlign w:val="center"/>
          </w:tcPr>
          <w:p w14:paraId="5FF7B284" w14:textId="77777777" w:rsidR="00C57D11" w:rsidRPr="00C57D11" w:rsidRDefault="00C57D11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1E55A7FD" w14:textId="3C885515" w:rsidR="00686AE3" w:rsidRPr="00C57D11" w:rsidRDefault="006F4B4C" w:rsidP="000601F9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Facilitator</w:t>
            </w:r>
            <w:r w:rsidR="00104004" w:rsidRPr="00C57D11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s</w:t>
            </w:r>
          </w:p>
        </w:tc>
      </w:tr>
      <w:tr w:rsidR="00686AE3" w:rsidRPr="007B185D" w14:paraId="74949157" w14:textId="77777777" w:rsidTr="00C57D11">
        <w:tc>
          <w:tcPr>
            <w:tcW w:w="2610" w:type="dxa"/>
            <w:shd w:val="clear" w:color="auto" w:fill="auto"/>
            <w:vAlign w:val="center"/>
          </w:tcPr>
          <w:p w14:paraId="2823BAF2" w14:textId="75574A18" w:rsidR="00686AE3" w:rsidRPr="007B185D" w:rsidRDefault="00686AE3" w:rsidP="00DC4937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Meetings</w:t>
            </w:r>
          </w:p>
        </w:tc>
        <w:tc>
          <w:tcPr>
            <w:tcW w:w="2340" w:type="dxa"/>
            <w:vAlign w:val="center"/>
          </w:tcPr>
          <w:p w14:paraId="7DC7A81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- F2F mtg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891DF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FD7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engagement and facilitation for ICANN Community to meet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D7DC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3 times per year</w:t>
            </w:r>
          </w:p>
        </w:tc>
        <w:tc>
          <w:tcPr>
            <w:tcW w:w="1440" w:type="dxa"/>
            <w:vAlign w:val="center"/>
          </w:tcPr>
          <w:p w14:paraId="749E829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000407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5B32C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7EE12E2E" w14:textId="77777777" w:rsidR="00C57D11" w:rsidRDefault="006F4B4C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</w:t>
            </w:r>
            <w:r w:rsidR="00C57D11">
              <w:rPr>
                <w:rFonts w:ascii="Century Gothic" w:hAnsi="Century Gothic"/>
                <w:sz w:val="20"/>
                <w:szCs w:val="20"/>
                <w:lang w:bidi="x-none"/>
              </w:rPr>
              <w:t>:</w:t>
            </w:r>
          </w:p>
          <w:p w14:paraId="153B723A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5C22866" w14:textId="2AE32EDD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65A0B8D8" w14:textId="77777777" w:rsidTr="00C57D11">
        <w:tc>
          <w:tcPr>
            <w:tcW w:w="2610" w:type="dxa"/>
            <w:shd w:val="clear" w:color="auto" w:fill="auto"/>
            <w:vAlign w:val="center"/>
          </w:tcPr>
          <w:p w14:paraId="0298B0F8" w14:textId="1FB59C57" w:rsidR="00686AE3" w:rsidRPr="007B185D" w:rsidRDefault="00686AE3" w:rsidP="004B4DB5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 Updates</w:t>
            </w:r>
          </w:p>
        </w:tc>
        <w:tc>
          <w:tcPr>
            <w:tcW w:w="2340" w:type="dxa"/>
            <w:vAlign w:val="center"/>
          </w:tcPr>
          <w:p w14:paraId="36C9BF09" w14:textId="12A8F359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– Webpage articles</w:t>
            </w:r>
            <w:r w:rsidR="004B4DB5">
              <w:rPr>
                <w:rFonts w:ascii="Century Gothic" w:hAnsi="Century Gothic"/>
                <w:sz w:val="20"/>
                <w:szCs w:val="20"/>
              </w:rPr>
              <w:t xml:space="preserve"> on Community Mtgs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B284C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All ICANN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9D96B8" w14:textId="768C6B68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Updating </w:t>
            </w:r>
            <w:r w:rsidR="004B4DB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staff and </w:t>
            </w: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with recent developments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AC00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Monthly</w:t>
            </w:r>
          </w:p>
        </w:tc>
        <w:tc>
          <w:tcPr>
            <w:tcW w:w="1440" w:type="dxa"/>
            <w:vAlign w:val="center"/>
          </w:tcPr>
          <w:p w14:paraId="709E678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07F7AB3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3706E4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69EB8DED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CB0BE34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B430842" w14:textId="737D8317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3F20806E" w14:textId="77777777" w:rsidTr="00C57D11">
        <w:tc>
          <w:tcPr>
            <w:tcW w:w="2610" w:type="dxa"/>
            <w:shd w:val="clear" w:color="auto" w:fill="auto"/>
            <w:vAlign w:val="center"/>
          </w:tcPr>
          <w:p w14:paraId="61E033BF" w14:textId="0D67E0A2" w:rsidR="00686AE3" w:rsidRPr="007B185D" w:rsidRDefault="004B4DB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Cross Constituency Intercessional</w:t>
            </w:r>
          </w:p>
        </w:tc>
        <w:tc>
          <w:tcPr>
            <w:tcW w:w="2340" w:type="dxa"/>
            <w:vAlign w:val="center"/>
          </w:tcPr>
          <w:p w14:paraId="712E1B32" w14:textId="4D56A8FE" w:rsidR="00686AE3" w:rsidRPr="007B185D" w:rsidRDefault="004B4DB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- F2F mtg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D65430" w14:textId="6A1E17A7" w:rsidR="00686AE3" w:rsidRPr="007B185D" w:rsidRDefault="00F7038E" w:rsidP="00F7038E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Staff and </w:t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>Constituency Leaders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68753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and communication on activities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651579" w14:textId="13C47017" w:rsidR="00686AE3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Yearly or Semi-Annual</w:t>
            </w:r>
          </w:p>
        </w:tc>
        <w:tc>
          <w:tcPr>
            <w:tcW w:w="1440" w:type="dxa"/>
            <w:vAlign w:val="center"/>
          </w:tcPr>
          <w:p w14:paraId="4BF584A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24EF796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1212144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738FD89C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075CDD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A9FCA4B" w14:textId="72674E0E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0F7925" w:rsidRPr="007B185D" w14:paraId="1D266AEE" w14:textId="77777777" w:rsidTr="00C57D11">
        <w:trPr>
          <w:trHeight w:val="1304"/>
        </w:trPr>
        <w:tc>
          <w:tcPr>
            <w:tcW w:w="2610" w:type="dxa"/>
            <w:shd w:val="clear" w:color="auto" w:fill="auto"/>
            <w:vAlign w:val="center"/>
          </w:tcPr>
          <w:p w14:paraId="5636F8B9" w14:textId="3AC35E9D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Intercessional Meeting</w:t>
            </w:r>
          </w:p>
        </w:tc>
        <w:tc>
          <w:tcPr>
            <w:tcW w:w="2340" w:type="dxa"/>
            <w:vAlign w:val="center"/>
          </w:tcPr>
          <w:p w14:paraId="15F0AC8C" w14:textId="690C9888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 - F2F mtg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83A72" w14:textId="23449856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Community Leaders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172D38" w14:textId="276B839F" w:rsidR="000F7925" w:rsidRPr="000F7925" w:rsidRDefault="000F7925" w:rsidP="000F792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A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number of ICANN communities have proposed funding for intercessional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meetings and outreach events in various regions. ICANN believes that this presents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potentially valuable opportunities for outreach and capacity building. Before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committing to a host of various requests, this two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day January 2013 pilot program</w:t>
            </w:r>
          </w:p>
          <w:p w14:paraId="50FD5742" w14:textId="1C166CE6" w:rsidR="000F7925" w:rsidRPr="000F7925" w:rsidRDefault="000F7925" w:rsidP="000F792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(</w:t>
            </w:r>
            <w:proofErr w:type="gram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in</w:t>
            </w:r>
            <w:proofErr w:type="gram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a hub city) will allow the organization to explore this idea and will serve to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gather participants from all non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-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contract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communities. One day of the program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will offer communities the opportunity to reach out to prospective members and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the second will provide cross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ommunity collaboration opportunities. Expenses</w:t>
            </w:r>
          </w:p>
          <w:p w14:paraId="3586FB1C" w14:textId="2279EE9A" w:rsidR="000F7925" w:rsidRPr="007B185D" w:rsidRDefault="000F7925" w:rsidP="000F792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proofErr w:type="gram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would</w:t>
            </w:r>
            <w:proofErr w:type="gram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include staff coordination time, and travel support and limited scribing,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recording and 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>t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ranscripts.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5C36E5" w14:textId="1994E98C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FY13</w:t>
            </w:r>
          </w:p>
        </w:tc>
        <w:tc>
          <w:tcPr>
            <w:tcW w:w="1440" w:type="dxa"/>
            <w:vAlign w:val="center"/>
          </w:tcPr>
          <w:p w14:paraId="6AB29ADF" w14:textId="77777777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60EC593E" w14:textId="415A0C23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66287F81" w14:textId="36906CC3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75BA4A1C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6BA1C19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AB06BDA" w14:textId="2CD4999D" w:rsidR="000F7925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0F7925" w:rsidRPr="007B185D" w14:paraId="1D9C646B" w14:textId="77777777" w:rsidTr="00C57D11">
        <w:trPr>
          <w:trHeight w:val="1304"/>
        </w:trPr>
        <w:tc>
          <w:tcPr>
            <w:tcW w:w="2610" w:type="dxa"/>
            <w:shd w:val="clear" w:color="auto" w:fill="auto"/>
            <w:vAlign w:val="center"/>
          </w:tcPr>
          <w:p w14:paraId="458EE0C7" w14:textId="0A7D9E1F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Capacity Building</w:t>
            </w:r>
          </w:p>
        </w:tc>
        <w:tc>
          <w:tcPr>
            <w:tcW w:w="2340" w:type="dxa"/>
            <w:vAlign w:val="center"/>
          </w:tcPr>
          <w:p w14:paraId="15520BE9" w14:textId="1027B2E7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F2F and Workshops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9FA66A" w14:textId="77777777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FB7FC39" w14:textId="77777777" w:rsidR="000F7925" w:rsidRPr="000F7925" w:rsidRDefault="000F7925" w:rsidP="000F792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ICANN recognizes the need for capacity building for the SO/AC, to that effect ICANN</w:t>
            </w:r>
          </w:p>
          <w:p w14:paraId="12BFEFE6" w14:textId="6B60E080" w:rsidR="000F7925" w:rsidRPr="007B185D" w:rsidRDefault="000F7925" w:rsidP="000F792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bidi="x-none"/>
              </w:rPr>
            </w:pPr>
            <w:proofErr w:type="gram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will</w:t>
            </w:r>
            <w:proofErr w:type="gram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provide funds to support various face to face meetings and workshops at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ICANN meetings, or where appropriate other Internet Community Conferences.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The SSAC annual intercessional will also be funded in FY13 to enable in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depth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</w:t>
            </w:r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collaboration and in person meetings to develop SSAC annual </w:t>
            </w:r>
            <w:proofErr w:type="spellStart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workplan</w:t>
            </w:r>
            <w:proofErr w:type="spellEnd"/>
            <w:r w:rsidRPr="000F7925">
              <w:rPr>
                <w:rFonts w:ascii="Century Gothic" w:hAnsi="Century Gothic"/>
                <w:sz w:val="20"/>
                <w:szCs w:val="20"/>
                <w:lang w:bidi="x-none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6317A7" w14:textId="3A1B2C2E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FY13</w:t>
            </w:r>
          </w:p>
        </w:tc>
        <w:tc>
          <w:tcPr>
            <w:tcW w:w="1440" w:type="dxa"/>
            <w:vAlign w:val="center"/>
          </w:tcPr>
          <w:p w14:paraId="3C8F5E59" w14:textId="2537CE3C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3235FC3" w14:textId="68EFA5EB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F1D971A" w14:textId="4CBD0535" w:rsidR="000F7925" w:rsidRPr="007B185D" w:rsidRDefault="000F7925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7315EE27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B5E515E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0D3AA36E" w14:textId="5C645F16" w:rsidR="000F7925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292117B6" w14:textId="77777777" w:rsidTr="00C57D11">
        <w:trPr>
          <w:trHeight w:val="1304"/>
        </w:trPr>
        <w:tc>
          <w:tcPr>
            <w:tcW w:w="2610" w:type="dxa"/>
            <w:shd w:val="clear" w:color="auto" w:fill="auto"/>
            <w:vAlign w:val="center"/>
          </w:tcPr>
          <w:p w14:paraId="5CEBC5F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lastRenderedPageBreak/>
              <w:t>Pre-ICANN meeting Policy Team webinar</w:t>
            </w:r>
          </w:p>
        </w:tc>
        <w:tc>
          <w:tcPr>
            <w:tcW w:w="2340" w:type="dxa"/>
            <w:vAlign w:val="center"/>
          </w:tcPr>
          <w:p w14:paraId="5C17666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 and Direct Engagement and Networking – Adobe Connect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17CE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and Staff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E175D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Preparation for the upcoming ICANN Meeting for better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1D33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2-3 wks prior to Mtg</w:t>
            </w:r>
          </w:p>
        </w:tc>
        <w:tc>
          <w:tcPr>
            <w:tcW w:w="1440" w:type="dxa"/>
            <w:vAlign w:val="center"/>
          </w:tcPr>
          <w:p w14:paraId="46C04A8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59F82FA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2149EBB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1EE3B148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014CB15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BE5C771" w14:textId="58BFB9BF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F7038E" w:rsidRPr="007B185D" w14:paraId="3BB09AAA" w14:textId="77777777" w:rsidTr="00C57D11">
        <w:trPr>
          <w:trHeight w:val="602"/>
        </w:trPr>
        <w:tc>
          <w:tcPr>
            <w:tcW w:w="2610" w:type="dxa"/>
            <w:shd w:val="clear" w:color="auto" w:fill="auto"/>
            <w:vAlign w:val="center"/>
          </w:tcPr>
          <w:p w14:paraId="75977CE7" w14:textId="60B4DBB6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Leadership Training</w:t>
            </w:r>
          </w:p>
        </w:tc>
        <w:tc>
          <w:tcPr>
            <w:tcW w:w="2340" w:type="dxa"/>
            <w:vAlign w:val="center"/>
          </w:tcPr>
          <w:p w14:paraId="4F9F9750" w14:textId="2EC66D3D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7CB965" w14:textId="4EFB9CD6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Newly elected SO/AC Chairs</w:t>
            </w: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and WG Leaders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3E12FA9" w14:textId="0783A740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EE2350" w14:textId="7123668B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1ACD8164" w14:textId="7621DD13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58E99E30" w14:textId="6EB9ACB1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15666E82" w14:textId="293BB90D" w:rsidR="00F7038E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6433A1F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BD9F72C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15AA2741" w14:textId="63EC166B" w:rsidR="00F7038E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09E2A4B2" w14:textId="77777777" w:rsidTr="00C57D11">
        <w:tc>
          <w:tcPr>
            <w:tcW w:w="2610" w:type="dxa"/>
            <w:shd w:val="clear" w:color="auto" w:fill="auto"/>
            <w:vAlign w:val="center"/>
          </w:tcPr>
          <w:p w14:paraId="012A527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 Comment Periods</w:t>
            </w:r>
          </w:p>
        </w:tc>
        <w:tc>
          <w:tcPr>
            <w:tcW w:w="2340" w:type="dxa"/>
            <w:vAlign w:val="center"/>
          </w:tcPr>
          <w:p w14:paraId="4FAB3A02" w14:textId="7286236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 – via Public Comments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DD4C3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10DEE" w14:textId="1A94605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402F5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3065DCB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4ED097A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357506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600" w:type="dxa"/>
            <w:vAlign w:val="center"/>
          </w:tcPr>
          <w:p w14:paraId="6B8AD83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48964718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7B3DAEE" w14:textId="483240B4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</w:tbl>
    <w:p w14:paraId="0D93B815" w14:textId="77777777" w:rsidR="007B185D" w:rsidRDefault="007B185D">
      <w:r>
        <w:br w:type="page"/>
      </w:r>
    </w:p>
    <w:tbl>
      <w:tblPr>
        <w:tblW w:w="18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160"/>
        <w:gridCol w:w="1800"/>
        <w:gridCol w:w="2610"/>
        <w:gridCol w:w="1440"/>
        <w:gridCol w:w="1440"/>
        <w:gridCol w:w="1440"/>
        <w:gridCol w:w="1350"/>
        <w:gridCol w:w="3780"/>
      </w:tblGrid>
      <w:tr w:rsidR="007B185D" w:rsidRPr="007B185D" w14:paraId="7DE2BC33" w14:textId="77777777" w:rsidTr="006004AE">
        <w:trPr>
          <w:tblHeader/>
        </w:trPr>
        <w:tc>
          <w:tcPr>
            <w:tcW w:w="2790" w:type="dxa"/>
            <w:shd w:val="clear" w:color="auto" w:fill="auto"/>
            <w:vAlign w:val="center"/>
          </w:tcPr>
          <w:p w14:paraId="501A0D67" w14:textId="77777777" w:rsidR="007B185D" w:rsidRPr="006004AE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lastRenderedPageBreak/>
              <w:t>Activity</w:t>
            </w:r>
          </w:p>
        </w:tc>
        <w:tc>
          <w:tcPr>
            <w:tcW w:w="2160" w:type="dxa"/>
            <w:vAlign w:val="center"/>
          </w:tcPr>
          <w:p w14:paraId="12811046" w14:textId="77777777" w:rsidR="007B185D" w:rsidRPr="006004AE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59F776" w14:textId="77777777" w:rsidR="007B185D" w:rsidRPr="006004AE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776640" w14:textId="77777777" w:rsidR="007B185D" w:rsidRPr="006004AE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9A6CCE" w14:textId="77777777" w:rsidR="007B185D" w:rsidRPr="006004AE" w:rsidRDefault="007B185D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144D0696" w14:textId="6642CBD3" w:rsidR="00DC4937" w:rsidRPr="006004AE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440" w:type="dxa"/>
            <w:vAlign w:val="center"/>
          </w:tcPr>
          <w:p w14:paraId="6A02639C" w14:textId="6356D22A" w:rsidR="00DC4937" w:rsidRPr="006004AE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8B43D92" w14:textId="21AC8244" w:rsidR="00DC4937" w:rsidRPr="006004AE" w:rsidRDefault="00DC4937" w:rsidP="00DF3342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Contribute</w:t>
            </w:r>
          </w:p>
        </w:tc>
        <w:tc>
          <w:tcPr>
            <w:tcW w:w="3780" w:type="dxa"/>
            <w:vAlign w:val="center"/>
          </w:tcPr>
          <w:p w14:paraId="386CFF43" w14:textId="77777777" w:rsidR="006004AE" w:rsidRPr="006004AE" w:rsidRDefault="006F4B4C" w:rsidP="006004AE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Driver </w:t>
            </w:r>
          </w:p>
          <w:p w14:paraId="35AB0B71" w14:textId="48896FE0" w:rsidR="007B185D" w:rsidRPr="006004AE" w:rsidRDefault="006F4B4C" w:rsidP="006004AE">
            <w:pPr>
              <w:jc w:val="center"/>
              <w:rPr>
                <w:rFonts w:ascii="Century Gothic" w:hAnsi="Century Gothic"/>
                <w:b/>
                <w:sz w:val="22"/>
                <w:szCs w:val="20"/>
                <w:lang w:bidi="x-none"/>
              </w:rPr>
            </w:pPr>
            <w:r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 xml:space="preserve"> Facilitator</w:t>
            </w:r>
            <w:r w:rsidR="00254687" w:rsidRPr="006004AE">
              <w:rPr>
                <w:rFonts w:ascii="Century Gothic" w:hAnsi="Century Gothic"/>
                <w:b/>
                <w:sz w:val="22"/>
                <w:szCs w:val="20"/>
                <w:lang w:bidi="x-none"/>
              </w:rPr>
              <w:t>s</w:t>
            </w:r>
          </w:p>
        </w:tc>
      </w:tr>
      <w:tr w:rsidR="00686AE3" w:rsidRPr="007B185D" w14:paraId="473CFD82" w14:textId="77777777" w:rsidTr="006004AE">
        <w:trPr>
          <w:trHeight w:val="746"/>
        </w:trPr>
        <w:tc>
          <w:tcPr>
            <w:tcW w:w="2790" w:type="dxa"/>
            <w:shd w:val="clear" w:color="auto" w:fill="auto"/>
            <w:vAlign w:val="center"/>
          </w:tcPr>
          <w:p w14:paraId="56D4F809" w14:textId="1169C4B8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 wikis</w:t>
            </w:r>
          </w:p>
        </w:tc>
        <w:tc>
          <w:tcPr>
            <w:tcW w:w="2160" w:type="dxa"/>
            <w:vAlign w:val="center"/>
          </w:tcPr>
          <w:p w14:paraId="433C540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7053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3E6AD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95DB4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6D0A018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33EA07A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434E5C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6CF7D48E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AA24FE8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C6058D6" w14:textId="3FE06EF1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559047C9" w14:textId="77777777" w:rsidTr="006004AE">
        <w:tc>
          <w:tcPr>
            <w:tcW w:w="2790" w:type="dxa"/>
            <w:shd w:val="clear" w:color="auto" w:fill="auto"/>
            <w:vAlign w:val="center"/>
          </w:tcPr>
          <w:p w14:paraId="2AB341C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Translations</w:t>
            </w:r>
          </w:p>
        </w:tc>
        <w:tc>
          <w:tcPr>
            <w:tcW w:w="2160" w:type="dxa"/>
            <w:vAlign w:val="center"/>
          </w:tcPr>
          <w:p w14:paraId="39EF12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B16C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A72FD6" w14:textId="3B05CA4A" w:rsidR="00686AE3" w:rsidRPr="007B185D" w:rsidRDefault="000601F9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E31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52D9C2E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0718267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4885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2B74A192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346723CC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3E4AC5BA" w14:textId="73D52711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5367270E" w14:textId="77777777" w:rsidTr="006004AE">
        <w:tc>
          <w:tcPr>
            <w:tcW w:w="2790" w:type="dxa"/>
            <w:shd w:val="clear" w:color="auto" w:fill="auto"/>
            <w:vAlign w:val="center"/>
          </w:tcPr>
          <w:p w14:paraId="1B1ED458" w14:textId="682E5C9C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Brochures, Factsheets</w:t>
            </w:r>
          </w:p>
        </w:tc>
        <w:tc>
          <w:tcPr>
            <w:tcW w:w="2160" w:type="dxa"/>
            <w:vAlign w:val="center"/>
          </w:tcPr>
          <w:p w14:paraId="08C5042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3CC08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B3DB8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 and engagement, Increased awareness of ICANN’s mission and the MSM; increased participation in ICANN process; better policy and technical understanding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F8CE7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441657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81AEA9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BA6276D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266824B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0455DD5F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0435D83" w14:textId="6D1A4B44" w:rsidR="00254687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5DB28616" w14:textId="77777777" w:rsidTr="006004AE">
        <w:tc>
          <w:tcPr>
            <w:tcW w:w="2790" w:type="dxa"/>
            <w:shd w:val="clear" w:color="auto" w:fill="auto"/>
            <w:vAlign w:val="center"/>
          </w:tcPr>
          <w:p w14:paraId="57DD795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 NSO Training and workshops</w:t>
            </w:r>
          </w:p>
        </w:tc>
        <w:tc>
          <w:tcPr>
            <w:tcW w:w="2160" w:type="dxa"/>
            <w:vAlign w:val="center"/>
          </w:tcPr>
          <w:p w14:paraId="6684005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0E540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ccTLD 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BBBBB5" w14:textId="4B1CD00D" w:rsidR="00686AE3" w:rsidRPr="007B185D" w:rsidRDefault="00F7038E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Better communication </w:t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1CFD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11277D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3304BA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76A5E2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6C5E01D6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6D797204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6A9DDE6" w14:textId="6717E648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3C597072" w14:textId="77777777" w:rsidTr="006004AE">
        <w:tc>
          <w:tcPr>
            <w:tcW w:w="2790" w:type="dxa"/>
            <w:shd w:val="clear" w:color="auto" w:fill="auto"/>
            <w:vAlign w:val="center"/>
          </w:tcPr>
          <w:p w14:paraId="342DC0F3" w14:textId="76184B8B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Social Media</w:t>
            </w:r>
          </w:p>
        </w:tc>
        <w:tc>
          <w:tcPr>
            <w:tcW w:w="2160" w:type="dxa"/>
            <w:vAlign w:val="center"/>
          </w:tcPr>
          <w:p w14:paraId="5A500B88" w14:textId="1D89BBFB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D757C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ICANN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4EE19B" w14:textId="142E9DB9" w:rsidR="00686AE3" w:rsidRPr="007B185D" w:rsidRDefault="00F7038E" w:rsidP="00F7038E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Better communication </w:t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31C44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004306BA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665AC8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25981E7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28EB2E83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61642849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57D5B3A4" w14:textId="5A6A6A69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0EC84AA8" w14:textId="77777777" w:rsidTr="006004AE">
        <w:tc>
          <w:tcPr>
            <w:tcW w:w="2790" w:type="dxa"/>
            <w:shd w:val="clear" w:color="auto" w:fill="auto"/>
            <w:vAlign w:val="center"/>
          </w:tcPr>
          <w:p w14:paraId="40958D73" w14:textId="4D3D9E81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Teaching and Training workshops</w:t>
            </w:r>
          </w:p>
        </w:tc>
        <w:tc>
          <w:tcPr>
            <w:tcW w:w="2160" w:type="dxa"/>
            <w:vAlign w:val="center"/>
          </w:tcPr>
          <w:p w14:paraId="446053A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Direct Engagement and Networking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756C68" w14:textId="06B9D4E4" w:rsidR="00686AE3" w:rsidRPr="007B185D" w:rsidRDefault="00686AE3" w:rsidP="00506F82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policy training, implementing </w:t>
            </w:r>
            <w:r w:rsidR="003D3F9B" w:rsidRPr="007B185D">
              <w:rPr>
                <w:rFonts w:ascii="Century Gothic" w:hAnsi="Century Gothic"/>
                <w:sz w:val="20"/>
                <w:szCs w:val="20"/>
                <w:lang w:bidi="x-none"/>
              </w:rPr>
              <w:t>DNSSEC</w:t>
            </w: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, etc.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CCA39B" w14:textId="2228F0F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understanding of best practices and the security, stability and interoperability of the Internet</w:t>
            </w:r>
            <w:r w:rsidR="00506F82">
              <w:rPr>
                <w:rFonts w:ascii="Century Gothic" w:hAnsi="Century Gothic"/>
                <w:sz w:val="20"/>
                <w:szCs w:val="20"/>
                <w:lang w:bidi="x-none"/>
              </w:rPr>
              <w:t>, policy building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D324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616E6D6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468482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0FA51F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570BEA03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F1D487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CC077FF" w14:textId="21729D42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51F38492" w14:textId="77777777" w:rsidTr="006004AE">
        <w:tc>
          <w:tcPr>
            <w:tcW w:w="2790" w:type="dxa"/>
            <w:shd w:val="clear" w:color="auto" w:fill="auto"/>
            <w:vAlign w:val="center"/>
          </w:tcPr>
          <w:p w14:paraId="34E4BA6A" w14:textId="62D9376E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ICANN website updates, Announcements, News releases, Blog postings, Media Services, Press events, Social Media</w:t>
            </w:r>
          </w:p>
        </w:tc>
        <w:tc>
          <w:tcPr>
            <w:tcW w:w="2160" w:type="dxa"/>
            <w:vAlign w:val="center"/>
          </w:tcPr>
          <w:p w14:paraId="45D054D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 and Online Engagement Tools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5492C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8EC23E" w14:textId="10B5F8E2" w:rsidR="00686AE3" w:rsidRPr="007B185D" w:rsidRDefault="00506F82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Better communication</w:t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E8CF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7F33457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6CFC964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11D4C7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51F0C4CF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1CBB2745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4C0AB5F6" w14:textId="52DE5563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1E9CBDE3" w14:textId="77777777" w:rsidTr="006004AE">
        <w:tc>
          <w:tcPr>
            <w:tcW w:w="2790" w:type="dxa"/>
            <w:shd w:val="clear" w:color="auto" w:fill="auto"/>
            <w:vAlign w:val="center"/>
          </w:tcPr>
          <w:p w14:paraId="0631A59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 Report</w:t>
            </w:r>
          </w:p>
        </w:tc>
        <w:tc>
          <w:tcPr>
            <w:tcW w:w="2160" w:type="dxa"/>
            <w:vAlign w:val="center"/>
          </w:tcPr>
          <w:p w14:paraId="39AA4F7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Publication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6AE1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4194DA" w14:textId="622134BB" w:rsidR="00686AE3" w:rsidRPr="007B185D" w:rsidRDefault="00506F82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Better communication</w:t>
            </w:r>
            <w:r w:rsidR="00686AE3" w:rsidRPr="007B185D"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849A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022DAEE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2D9BD91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4EE33266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306F018B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2D9B057E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7D115FFF" w14:textId="2F2E7E01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C57D11" w:rsidRPr="007B185D" w14:paraId="1AFF6F6B" w14:textId="77777777" w:rsidTr="006004AE">
        <w:trPr>
          <w:trHeight w:val="1772"/>
        </w:trPr>
        <w:tc>
          <w:tcPr>
            <w:tcW w:w="2790" w:type="dxa"/>
            <w:shd w:val="clear" w:color="auto" w:fill="auto"/>
            <w:vAlign w:val="center"/>
          </w:tcPr>
          <w:p w14:paraId="4F2C98E4" w14:textId="1414B98E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2160" w:type="dxa"/>
            <w:vAlign w:val="center"/>
          </w:tcPr>
          <w:p w14:paraId="7CF238D8" w14:textId="7A1F2964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BA463" w14:textId="1883DE80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Target Audience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5E55C9" w14:textId="15FB8548" w:rsidR="00C57D11" w:rsidRPr="007B185D" w:rsidRDefault="00C57D11" w:rsidP="00506F82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Expected Outcome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0DE88B" w14:textId="6D34D825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Timing</w:t>
            </w:r>
          </w:p>
        </w:tc>
        <w:tc>
          <w:tcPr>
            <w:tcW w:w="1440" w:type="dxa"/>
            <w:vAlign w:val="center"/>
          </w:tcPr>
          <w:p w14:paraId="279F053F" w14:textId="14E570B6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Awareness</w:t>
            </w:r>
          </w:p>
        </w:tc>
        <w:tc>
          <w:tcPr>
            <w:tcW w:w="1440" w:type="dxa"/>
            <w:vAlign w:val="center"/>
          </w:tcPr>
          <w:p w14:paraId="1A99192E" w14:textId="4121BA4D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Participate</w:t>
            </w:r>
          </w:p>
        </w:tc>
        <w:tc>
          <w:tcPr>
            <w:tcW w:w="1350" w:type="dxa"/>
            <w:vAlign w:val="center"/>
          </w:tcPr>
          <w:p w14:paraId="7E67C4A3" w14:textId="45F5010D" w:rsidR="00C57D11" w:rsidRPr="007B185D" w:rsidRDefault="00C57D11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Contribute</w:t>
            </w:r>
          </w:p>
        </w:tc>
        <w:tc>
          <w:tcPr>
            <w:tcW w:w="3780" w:type="dxa"/>
            <w:vAlign w:val="center"/>
          </w:tcPr>
          <w:p w14:paraId="27078A95" w14:textId="77777777" w:rsidR="006004AE" w:rsidRDefault="006004AE" w:rsidP="006004AE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675C458D" w14:textId="77777777" w:rsidR="006004AE" w:rsidRDefault="006004AE" w:rsidP="006004AE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DEF93A1" w14:textId="59E520BE" w:rsidR="00C57D11" w:rsidRDefault="006004AE" w:rsidP="006004AE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1EF8F05B" w14:textId="77777777" w:rsidTr="006004AE">
        <w:trPr>
          <w:trHeight w:val="1772"/>
        </w:trPr>
        <w:tc>
          <w:tcPr>
            <w:tcW w:w="2790" w:type="dxa"/>
            <w:shd w:val="clear" w:color="auto" w:fill="auto"/>
            <w:vAlign w:val="center"/>
          </w:tcPr>
          <w:p w14:paraId="3232F7A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Remote Participation Services</w:t>
            </w:r>
          </w:p>
        </w:tc>
        <w:tc>
          <w:tcPr>
            <w:tcW w:w="2160" w:type="dxa"/>
            <w:vAlign w:val="center"/>
          </w:tcPr>
          <w:p w14:paraId="6854B9E1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6BED9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Community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878A0E" w14:textId="2EF0D7DB" w:rsidR="00686AE3" w:rsidRPr="007B185D" w:rsidRDefault="00686AE3" w:rsidP="00506F82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C83C1D" w14:textId="06C909B2" w:rsidR="00686AE3" w:rsidRPr="007B185D" w:rsidRDefault="003D3F9B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Mainly at ICANN meetings as well as on demand and as necessary</w:t>
            </w:r>
          </w:p>
        </w:tc>
        <w:tc>
          <w:tcPr>
            <w:tcW w:w="1440" w:type="dxa"/>
            <w:vAlign w:val="center"/>
          </w:tcPr>
          <w:p w14:paraId="46B6F622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740D48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3CADA64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39B13477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5E368B20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CD0BD3E" w14:textId="6D8438EB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051367BB" w14:textId="77777777" w:rsidTr="006004AE">
        <w:tc>
          <w:tcPr>
            <w:tcW w:w="2790" w:type="dxa"/>
            <w:shd w:val="clear" w:color="auto" w:fill="auto"/>
            <w:vAlign w:val="center"/>
          </w:tcPr>
          <w:p w14:paraId="23170C53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Surveys</w:t>
            </w:r>
          </w:p>
        </w:tc>
        <w:tc>
          <w:tcPr>
            <w:tcW w:w="2160" w:type="dxa"/>
            <w:vAlign w:val="center"/>
          </w:tcPr>
          <w:p w14:paraId="46408BE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Online Engagement Tools and Fora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447FF4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Various Community Groups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ED755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understanding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BE2F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on demand and as necessary</w:t>
            </w:r>
          </w:p>
        </w:tc>
        <w:tc>
          <w:tcPr>
            <w:tcW w:w="1440" w:type="dxa"/>
            <w:vAlign w:val="center"/>
          </w:tcPr>
          <w:p w14:paraId="0A0040A8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vAlign w:val="center"/>
          </w:tcPr>
          <w:p w14:paraId="46BD35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  <w:vAlign w:val="center"/>
          </w:tcPr>
          <w:p w14:paraId="63C5482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0260F58A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5CB85126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226E85E5" w14:textId="260E0A7B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  <w:tr w:rsidR="00686AE3" w:rsidRPr="007B185D" w14:paraId="4DC18974" w14:textId="77777777" w:rsidTr="006004AE">
        <w:tc>
          <w:tcPr>
            <w:tcW w:w="2790" w:type="dxa"/>
            <w:shd w:val="clear" w:color="auto" w:fill="auto"/>
            <w:vAlign w:val="center"/>
          </w:tcPr>
          <w:p w14:paraId="547F13A0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Regional Registry/Registrar Meetings</w:t>
            </w:r>
          </w:p>
        </w:tc>
        <w:tc>
          <w:tcPr>
            <w:tcW w:w="2160" w:type="dxa"/>
            <w:vAlign w:val="center"/>
          </w:tcPr>
          <w:p w14:paraId="2A20BEC9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85D">
              <w:rPr>
                <w:rFonts w:ascii="Century Gothic" w:hAnsi="Century Gothic"/>
                <w:sz w:val="20"/>
                <w:szCs w:val="20"/>
              </w:rPr>
              <w:t>Training/Educational Program, Direct Engagement and Networking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4400CF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Regional Communities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DFCC3B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Better communication, recruitment,  and engagement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AAD4C5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Annual</w:t>
            </w:r>
          </w:p>
        </w:tc>
        <w:tc>
          <w:tcPr>
            <w:tcW w:w="1440" w:type="dxa"/>
            <w:vAlign w:val="center"/>
          </w:tcPr>
          <w:p w14:paraId="04B13B2C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440" w:type="dxa"/>
            <w:vAlign w:val="center"/>
          </w:tcPr>
          <w:p w14:paraId="1E37C3E7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1350" w:type="dxa"/>
            <w:vAlign w:val="center"/>
          </w:tcPr>
          <w:p w14:paraId="5C63423E" w14:textId="77777777" w:rsidR="00686AE3" w:rsidRPr="007B185D" w:rsidRDefault="00686AE3" w:rsidP="000601F9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 w:rsidRPr="007B185D">
              <w:rPr>
                <w:rFonts w:ascii="Century Gothic" w:hAnsi="Century Gothic"/>
                <w:sz w:val="20"/>
                <w:szCs w:val="20"/>
                <w:lang w:bidi="x-none"/>
              </w:rPr>
              <w:t>X</w:t>
            </w:r>
          </w:p>
        </w:tc>
        <w:tc>
          <w:tcPr>
            <w:tcW w:w="3780" w:type="dxa"/>
            <w:vAlign w:val="center"/>
          </w:tcPr>
          <w:p w14:paraId="4C6281B3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>ICANN Staff:</w:t>
            </w:r>
          </w:p>
          <w:p w14:paraId="7A168B83" w14:textId="77777777" w:rsidR="00C57D11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</w:p>
          <w:p w14:paraId="66F12FBE" w14:textId="4DF31879" w:rsidR="00686AE3" w:rsidRPr="007B185D" w:rsidRDefault="00C57D11" w:rsidP="00C57D11">
            <w:pPr>
              <w:jc w:val="center"/>
              <w:rPr>
                <w:rFonts w:ascii="Century Gothic" w:hAnsi="Century Gothic"/>
                <w:sz w:val="20"/>
                <w:szCs w:val="20"/>
                <w:lang w:bidi="x-none"/>
              </w:rPr>
            </w:pPr>
            <w:r>
              <w:rPr>
                <w:rFonts w:ascii="Century Gothic" w:hAnsi="Century Gothic"/>
                <w:sz w:val="20"/>
                <w:szCs w:val="20"/>
                <w:lang w:bidi="x-none"/>
              </w:rPr>
              <w:t xml:space="preserve"> Community:</w:t>
            </w:r>
          </w:p>
        </w:tc>
      </w:tr>
    </w:tbl>
    <w:p w14:paraId="34D93D5E" w14:textId="77777777" w:rsidR="00C56B21" w:rsidRPr="007B185D" w:rsidRDefault="00C56B21" w:rsidP="000B2982">
      <w:pPr>
        <w:jc w:val="both"/>
        <w:rPr>
          <w:rFonts w:ascii="Century Gothic" w:hAnsi="Century Gothic"/>
          <w:sz w:val="20"/>
          <w:szCs w:val="20"/>
          <w:lang w:bidi="x-none"/>
        </w:rPr>
      </w:pPr>
    </w:p>
    <w:sectPr w:rsidR="00C56B21" w:rsidRPr="007B185D" w:rsidSect="0083726E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738A9" w14:textId="77777777" w:rsidR="00FC5BC6" w:rsidRDefault="00FC5BC6" w:rsidP="003E53A2">
      <w:r>
        <w:separator/>
      </w:r>
    </w:p>
  </w:endnote>
  <w:endnote w:type="continuationSeparator" w:id="0">
    <w:p w14:paraId="0B810BC8" w14:textId="77777777" w:rsidR="00FC5BC6" w:rsidRDefault="00FC5BC6" w:rsidP="003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D774" w14:textId="77777777" w:rsidR="0037082C" w:rsidRDefault="0037082C" w:rsidP="00837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4AE">
      <w:rPr>
        <w:noProof/>
      </w:rPr>
      <w:t>1</w:t>
    </w:r>
    <w:r>
      <w:rPr>
        <w:noProof/>
      </w:rPr>
      <w:fldChar w:fldCharType="end"/>
    </w:r>
  </w:p>
  <w:p w14:paraId="347241C7" w14:textId="77777777" w:rsidR="0037082C" w:rsidRDefault="0037082C" w:rsidP="008372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742F8" w14:textId="77777777" w:rsidR="00FC5BC6" w:rsidRDefault="00FC5BC6" w:rsidP="003E53A2">
      <w:r>
        <w:separator/>
      </w:r>
    </w:p>
  </w:footnote>
  <w:footnote w:type="continuationSeparator" w:id="0">
    <w:p w14:paraId="24498E7E" w14:textId="77777777" w:rsidR="00FC5BC6" w:rsidRDefault="00FC5BC6" w:rsidP="003E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818E" w14:textId="7BA43AFD" w:rsidR="0037082C" w:rsidRPr="00F830E0" w:rsidRDefault="004B4DB5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IN </w:t>
    </w:r>
    <w:r w:rsidR="0037082C" w:rsidRPr="00F830E0">
      <w:rPr>
        <w:rFonts w:ascii="Century Gothic" w:hAnsi="Century Gothic"/>
        <w:sz w:val="28"/>
      </w:rPr>
      <w:t>REACH ACTIVITIES</w:t>
    </w:r>
  </w:p>
  <w:p w14:paraId="1C5CF4D6" w14:textId="77777777" w:rsidR="0037082C" w:rsidRDefault="00370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8E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8608B"/>
    <w:multiLevelType w:val="hybridMultilevel"/>
    <w:tmpl w:val="19A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4"/>
    <w:rsid w:val="000127A4"/>
    <w:rsid w:val="000601F9"/>
    <w:rsid w:val="0006630C"/>
    <w:rsid w:val="00073214"/>
    <w:rsid w:val="00081525"/>
    <w:rsid w:val="000B1EFB"/>
    <w:rsid w:val="000B2982"/>
    <w:rsid w:val="000F7925"/>
    <w:rsid w:val="00104004"/>
    <w:rsid w:val="00153121"/>
    <w:rsid w:val="00174B2A"/>
    <w:rsid w:val="001A7B34"/>
    <w:rsid w:val="001C1B35"/>
    <w:rsid w:val="00212270"/>
    <w:rsid w:val="00230DAC"/>
    <w:rsid w:val="002474C7"/>
    <w:rsid w:val="00254687"/>
    <w:rsid w:val="002812E4"/>
    <w:rsid w:val="0029198B"/>
    <w:rsid w:val="00293C11"/>
    <w:rsid w:val="002B2A4A"/>
    <w:rsid w:val="002B72E3"/>
    <w:rsid w:val="002C3689"/>
    <w:rsid w:val="002C42F9"/>
    <w:rsid w:val="002F5356"/>
    <w:rsid w:val="00343331"/>
    <w:rsid w:val="00344152"/>
    <w:rsid w:val="003500C0"/>
    <w:rsid w:val="0037082C"/>
    <w:rsid w:val="003919F2"/>
    <w:rsid w:val="003B0D17"/>
    <w:rsid w:val="003D3F9B"/>
    <w:rsid w:val="003D7F60"/>
    <w:rsid w:val="003E53A2"/>
    <w:rsid w:val="0040209E"/>
    <w:rsid w:val="00437B92"/>
    <w:rsid w:val="004B1A5B"/>
    <w:rsid w:val="004B4DB5"/>
    <w:rsid w:val="004D3F8D"/>
    <w:rsid w:val="004E1B28"/>
    <w:rsid w:val="004E1EF5"/>
    <w:rsid w:val="00506F82"/>
    <w:rsid w:val="00512598"/>
    <w:rsid w:val="00523EC6"/>
    <w:rsid w:val="005416E8"/>
    <w:rsid w:val="00545599"/>
    <w:rsid w:val="00562CBA"/>
    <w:rsid w:val="005C45F2"/>
    <w:rsid w:val="005F6227"/>
    <w:rsid w:val="006004AE"/>
    <w:rsid w:val="0064619B"/>
    <w:rsid w:val="00686AE3"/>
    <w:rsid w:val="0069779F"/>
    <w:rsid w:val="006F4B4C"/>
    <w:rsid w:val="007143A2"/>
    <w:rsid w:val="007239D0"/>
    <w:rsid w:val="00786C35"/>
    <w:rsid w:val="007960F1"/>
    <w:rsid w:val="007B185D"/>
    <w:rsid w:val="007D48A1"/>
    <w:rsid w:val="007F4841"/>
    <w:rsid w:val="008213C4"/>
    <w:rsid w:val="0082648D"/>
    <w:rsid w:val="0083726E"/>
    <w:rsid w:val="0086017B"/>
    <w:rsid w:val="008A3571"/>
    <w:rsid w:val="008B626C"/>
    <w:rsid w:val="009406B3"/>
    <w:rsid w:val="009A6031"/>
    <w:rsid w:val="009B4A65"/>
    <w:rsid w:val="009F1D7A"/>
    <w:rsid w:val="00A100DC"/>
    <w:rsid w:val="00A377FB"/>
    <w:rsid w:val="00A4245D"/>
    <w:rsid w:val="00A542DA"/>
    <w:rsid w:val="00A80F19"/>
    <w:rsid w:val="00AC3007"/>
    <w:rsid w:val="00AC7B8A"/>
    <w:rsid w:val="00B03DA2"/>
    <w:rsid w:val="00B45328"/>
    <w:rsid w:val="00B5458C"/>
    <w:rsid w:val="00B64971"/>
    <w:rsid w:val="00B65CB7"/>
    <w:rsid w:val="00B72114"/>
    <w:rsid w:val="00BB7404"/>
    <w:rsid w:val="00C2227C"/>
    <w:rsid w:val="00C56B21"/>
    <w:rsid w:val="00C57D11"/>
    <w:rsid w:val="00C753E2"/>
    <w:rsid w:val="00D440D5"/>
    <w:rsid w:val="00D56E0D"/>
    <w:rsid w:val="00D70EFA"/>
    <w:rsid w:val="00DA46E7"/>
    <w:rsid w:val="00DA6F3C"/>
    <w:rsid w:val="00DC4937"/>
    <w:rsid w:val="00DF5BC3"/>
    <w:rsid w:val="00E67DA1"/>
    <w:rsid w:val="00EA13A3"/>
    <w:rsid w:val="00EF7504"/>
    <w:rsid w:val="00F303AA"/>
    <w:rsid w:val="00F429AA"/>
    <w:rsid w:val="00F64E9D"/>
    <w:rsid w:val="00F7038E"/>
    <w:rsid w:val="00F763C0"/>
    <w:rsid w:val="00F830E0"/>
    <w:rsid w:val="00FC5BC6"/>
    <w:rsid w:val="00FC64E6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BE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4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3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E53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3A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E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A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293C11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2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4296</Characters>
  <Application>Microsoft Office Word</Application>
  <DocSecurity>0</DocSecurity>
  <Lines>429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 related to events establishment Project Office</vt:lpstr>
    </vt:vector>
  </TitlesOfParts>
  <Company>ICANN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related to events establishment Project Office</dc:title>
  <dc:creator>Bart Boswinkel</dc:creator>
  <cp:lastModifiedBy>Janice Douma Lange</cp:lastModifiedBy>
  <cp:revision>2</cp:revision>
  <cp:lastPrinted>2012-09-05T19:58:00Z</cp:lastPrinted>
  <dcterms:created xsi:type="dcterms:W3CDTF">2012-09-05T21:46:00Z</dcterms:created>
  <dcterms:modified xsi:type="dcterms:W3CDTF">2012-09-05T21:46:00Z</dcterms:modified>
</cp:coreProperties>
</file>