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80CD" w14:textId="421FAC53" w:rsidR="00DC4937" w:rsidRDefault="00A4245D" w:rsidP="00230DAC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 xml:space="preserve">This file is for illustration of a possible inventory for various outreach activities </w:t>
      </w:r>
      <w:r w:rsidR="00DC4937">
        <w:rPr>
          <w:rFonts w:ascii="Century Gothic" w:hAnsi="Century Gothic"/>
          <w:sz w:val="20"/>
          <w:szCs w:val="20"/>
        </w:rPr>
        <w:t>and a draft of how they fit into our framework of Outreach.</w:t>
      </w:r>
    </w:p>
    <w:p w14:paraId="1B02A26C" w14:textId="77777777" w:rsidR="00DC4937" w:rsidRDefault="00DC4937" w:rsidP="00230DAC">
      <w:pPr>
        <w:rPr>
          <w:rFonts w:ascii="Century Gothic" w:hAnsi="Century Gothic"/>
          <w:sz w:val="20"/>
          <w:szCs w:val="20"/>
        </w:rPr>
      </w:pPr>
    </w:p>
    <w:p w14:paraId="5FF84045" w14:textId="528031C8" w:rsidR="002C42F9" w:rsidRPr="007B185D" w:rsidRDefault="000127A4" w:rsidP="00230DAC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 xml:space="preserve">Types of Outreach Activities: </w:t>
      </w:r>
    </w:p>
    <w:p w14:paraId="51C675ED" w14:textId="77777777" w:rsidR="000127A4" w:rsidRPr="007B185D" w:rsidRDefault="000127A4" w:rsidP="00230DAC">
      <w:pPr>
        <w:rPr>
          <w:rFonts w:ascii="Century Gothic" w:hAnsi="Century Gothic"/>
          <w:sz w:val="20"/>
          <w:szCs w:val="20"/>
        </w:rPr>
      </w:pPr>
    </w:p>
    <w:p w14:paraId="45A6DD4A" w14:textId="77777777" w:rsidR="000127A4" w:rsidRPr="007B185D" w:rsidRDefault="000127A4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 xml:space="preserve">Training/Educational Program: Used for structured programs where training is provided. Workshops are also considered under this category.  </w:t>
      </w:r>
    </w:p>
    <w:p w14:paraId="2D8431B5" w14:textId="77777777" w:rsidR="000127A4" w:rsidRPr="007B185D" w:rsidRDefault="004E1B28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>Publication: Printed materials, brochures, fact sheets, webpage and website information, blogs, podcasts, videos</w:t>
      </w:r>
    </w:p>
    <w:p w14:paraId="4373ADB8" w14:textId="77777777" w:rsidR="004E1B28" w:rsidRPr="007B185D" w:rsidRDefault="004E1B28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>Online engagement Tools and Fora: Public Forum, mailing lists, social media</w:t>
      </w:r>
    </w:p>
    <w:p w14:paraId="47DC31D4" w14:textId="77777777" w:rsidR="004E1B28" w:rsidRPr="007B185D" w:rsidRDefault="004E1B28" w:rsidP="00230D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>Direct Engagement and Networking: Face to Face Meetings, Conference calls, briefings, attendance to panels and industry meetings, public speaking in these events</w:t>
      </w:r>
    </w:p>
    <w:p w14:paraId="65705E84" w14:textId="77777777" w:rsidR="000127A4" w:rsidRPr="007B185D" w:rsidRDefault="000127A4">
      <w:pPr>
        <w:rPr>
          <w:rFonts w:ascii="Century Gothic" w:hAnsi="Century Gothic"/>
          <w:sz w:val="20"/>
          <w:szCs w:val="20"/>
        </w:rPr>
      </w:pPr>
    </w:p>
    <w:p w14:paraId="0D294A4A" w14:textId="77777777" w:rsidR="000127A4" w:rsidRPr="007B185D" w:rsidRDefault="000127A4">
      <w:pPr>
        <w:rPr>
          <w:rFonts w:ascii="Century Gothic" w:hAnsi="Century Gothic"/>
          <w:sz w:val="20"/>
          <w:szCs w:val="20"/>
        </w:rPr>
      </w:pPr>
    </w:p>
    <w:tbl>
      <w:tblPr>
        <w:tblW w:w="18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2340"/>
        <w:gridCol w:w="1800"/>
        <w:gridCol w:w="2610"/>
        <w:gridCol w:w="1440"/>
        <w:gridCol w:w="1440"/>
        <w:gridCol w:w="1440"/>
        <w:gridCol w:w="1350"/>
        <w:gridCol w:w="3600"/>
      </w:tblGrid>
      <w:tr w:rsidR="00686AE3" w:rsidRPr="007B185D" w14:paraId="571A5460" w14:textId="77777777" w:rsidTr="00EC436D">
        <w:trPr>
          <w:tblHeader/>
        </w:trPr>
        <w:tc>
          <w:tcPr>
            <w:tcW w:w="2610" w:type="dxa"/>
            <w:shd w:val="clear" w:color="auto" w:fill="auto"/>
            <w:vAlign w:val="center"/>
          </w:tcPr>
          <w:p w14:paraId="0413AACA" w14:textId="77777777" w:rsidR="00686AE3" w:rsidRPr="00EC436D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Activity</w:t>
            </w:r>
          </w:p>
        </w:tc>
        <w:tc>
          <w:tcPr>
            <w:tcW w:w="2340" w:type="dxa"/>
            <w:vAlign w:val="center"/>
          </w:tcPr>
          <w:p w14:paraId="018BB9D0" w14:textId="77777777" w:rsidR="00686AE3" w:rsidRPr="00EC436D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641D67" w14:textId="77777777" w:rsidR="00686AE3" w:rsidRPr="00EC436D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C8E523" w14:textId="77777777" w:rsidR="00686AE3" w:rsidRPr="00EC436D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0B6A86" w14:textId="77777777" w:rsidR="00686AE3" w:rsidRPr="00EC436D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1B128947" w14:textId="77777777" w:rsidR="00EC436D" w:rsidRPr="00EC436D" w:rsidRDefault="00EC436D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</w:p>
          <w:p w14:paraId="4CBE7335" w14:textId="77777777" w:rsidR="00686AE3" w:rsidRPr="00EC436D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Awareness</w:t>
            </w:r>
          </w:p>
          <w:p w14:paraId="2A02655B" w14:textId="5B68562A" w:rsidR="00DC4937" w:rsidRPr="00EC436D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38F72342" w14:textId="7DCD3FEC" w:rsidR="00DC4937" w:rsidRPr="00EC436D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7C107496" w14:textId="30C26B6A" w:rsidR="00DC4937" w:rsidRPr="00EC436D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Contribute</w:t>
            </w:r>
          </w:p>
        </w:tc>
        <w:tc>
          <w:tcPr>
            <w:tcW w:w="3600" w:type="dxa"/>
            <w:vAlign w:val="center"/>
          </w:tcPr>
          <w:p w14:paraId="2CEEBA42" w14:textId="77777777" w:rsidR="00A941A5" w:rsidRPr="00EC436D" w:rsidRDefault="006F4B4C" w:rsidP="00A941A5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Driver </w:t>
            </w:r>
          </w:p>
          <w:p w14:paraId="1E55A7FD" w14:textId="5D6C343E" w:rsidR="00686AE3" w:rsidRPr="00EC436D" w:rsidRDefault="006F4B4C" w:rsidP="00A941A5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Facilitator</w:t>
            </w:r>
            <w:r w:rsidR="00104004"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s</w:t>
            </w:r>
          </w:p>
        </w:tc>
      </w:tr>
      <w:tr w:rsidR="00686AE3" w:rsidRPr="007B185D" w14:paraId="74949157" w14:textId="77777777" w:rsidTr="00EC436D">
        <w:tc>
          <w:tcPr>
            <w:tcW w:w="2610" w:type="dxa"/>
            <w:shd w:val="clear" w:color="auto" w:fill="auto"/>
            <w:vAlign w:val="center"/>
          </w:tcPr>
          <w:p w14:paraId="2823BAF2" w14:textId="75574A18" w:rsidR="00686AE3" w:rsidRPr="007B185D" w:rsidRDefault="00686AE3" w:rsidP="00DC4937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Meetings</w:t>
            </w:r>
          </w:p>
        </w:tc>
        <w:tc>
          <w:tcPr>
            <w:tcW w:w="2340" w:type="dxa"/>
            <w:vAlign w:val="center"/>
          </w:tcPr>
          <w:p w14:paraId="7DC7A81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- F2F mtg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891DF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All ICANN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4FD7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engagement and facilitation for ICANN Community to meet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D7DC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3 times per year</w:t>
            </w:r>
          </w:p>
        </w:tc>
        <w:tc>
          <w:tcPr>
            <w:tcW w:w="1440" w:type="dxa"/>
            <w:vAlign w:val="center"/>
          </w:tcPr>
          <w:p w14:paraId="749E829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000407F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5B32C9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1B1D0631" w14:textId="5D8096F4" w:rsidR="00686AE3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</w:t>
            </w:r>
            <w:r w:rsidR="00A941A5">
              <w:rPr>
                <w:rFonts w:ascii="Century Gothic" w:hAnsi="Century Gothic"/>
                <w:sz w:val="20"/>
                <w:szCs w:val="20"/>
                <w:lang w:bidi="x-none"/>
              </w:rPr>
              <w:t>:</w:t>
            </w:r>
            <w:r w:rsidR="003E25D7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 Driver</w:t>
            </w:r>
          </w:p>
          <w:p w14:paraId="43834D35" w14:textId="77777777" w:rsidR="00A941A5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5C22866" w14:textId="292BF66B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  <w:r w:rsidR="003E25D7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Share Agenda Bldg</w:t>
            </w:r>
            <w:bookmarkStart w:id="0" w:name="_GoBack"/>
            <w:bookmarkEnd w:id="0"/>
          </w:p>
        </w:tc>
      </w:tr>
      <w:tr w:rsidR="00A941A5" w:rsidRPr="007B185D" w14:paraId="65A0B8D8" w14:textId="77777777" w:rsidTr="00EC436D">
        <w:tc>
          <w:tcPr>
            <w:tcW w:w="2610" w:type="dxa"/>
            <w:shd w:val="clear" w:color="auto" w:fill="auto"/>
            <w:vAlign w:val="center"/>
          </w:tcPr>
          <w:p w14:paraId="0298B0F8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 Policy Updates</w:t>
            </w:r>
          </w:p>
        </w:tc>
        <w:tc>
          <w:tcPr>
            <w:tcW w:w="2340" w:type="dxa"/>
            <w:vAlign w:val="center"/>
          </w:tcPr>
          <w:p w14:paraId="36C9BF09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 – Webpage articles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B284CD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All ICANN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9D96B8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Updating community with recent developments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AC008F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</w:t>
            </w:r>
          </w:p>
        </w:tc>
        <w:tc>
          <w:tcPr>
            <w:tcW w:w="1440" w:type="dxa"/>
            <w:vAlign w:val="center"/>
          </w:tcPr>
          <w:p w14:paraId="709E678E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07F7AB39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43706E44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</w:tcPr>
          <w:p w14:paraId="71642A49" w14:textId="77777777" w:rsidR="00A941A5" w:rsidRDefault="00A941A5" w:rsidP="006F4B4C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AB73785" w14:textId="77777777" w:rsidR="00EC436D" w:rsidRDefault="00EC436D" w:rsidP="006F4B4C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B430842" w14:textId="51D9ACAD" w:rsidR="00EC436D" w:rsidRPr="007B185D" w:rsidRDefault="00EC436D" w:rsidP="006F4B4C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A941A5" w:rsidRPr="007B185D" w14:paraId="3F20806E" w14:textId="77777777" w:rsidTr="00EC436D">
        <w:tc>
          <w:tcPr>
            <w:tcW w:w="2610" w:type="dxa"/>
            <w:shd w:val="clear" w:color="auto" w:fill="auto"/>
            <w:vAlign w:val="center"/>
          </w:tcPr>
          <w:p w14:paraId="61E033BF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 Updates/Briefings</w:t>
            </w:r>
          </w:p>
        </w:tc>
        <w:tc>
          <w:tcPr>
            <w:tcW w:w="2340" w:type="dxa"/>
            <w:vAlign w:val="center"/>
          </w:tcPr>
          <w:p w14:paraId="712E1B32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Networking- Conf calls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D65430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Community, board, constituencies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687535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and communication on activities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651579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</w:t>
            </w:r>
          </w:p>
        </w:tc>
        <w:tc>
          <w:tcPr>
            <w:tcW w:w="1440" w:type="dxa"/>
            <w:vAlign w:val="center"/>
          </w:tcPr>
          <w:p w14:paraId="4BF584AB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24EF796D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  <w:vAlign w:val="center"/>
          </w:tcPr>
          <w:p w14:paraId="12121441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</w:tcPr>
          <w:p w14:paraId="04A0992F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02148B0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A9FCA4B" w14:textId="37EE4CA6" w:rsidR="00A941A5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A941A5" w:rsidRPr="007B185D" w14:paraId="292117B6" w14:textId="77777777" w:rsidTr="00EC436D">
        <w:trPr>
          <w:trHeight w:val="1304"/>
        </w:trPr>
        <w:tc>
          <w:tcPr>
            <w:tcW w:w="2610" w:type="dxa"/>
            <w:shd w:val="clear" w:color="auto" w:fill="auto"/>
            <w:vAlign w:val="center"/>
          </w:tcPr>
          <w:p w14:paraId="5CEBC5FD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Pre-ICANN meeting Policy Team webinar</w:t>
            </w:r>
          </w:p>
        </w:tc>
        <w:tc>
          <w:tcPr>
            <w:tcW w:w="2340" w:type="dxa"/>
            <w:vAlign w:val="center"/>
          </w:tcPr>
          <w:p w14:paraId="5C17666E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 and Direct Engagement and Networking – Adobe Connect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17CE8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 and Staff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E175D3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Preparation for the upcoming ICANN Meeting for better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71D334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2-3 wks prior to Mtg</w:t>
            </w:r>
          </w:p>
        </w:tc>
        <w:tc>
          <w:tcPr>
            <w:tcW w:w="1440" w:type="dxa"/>
            <w:vAlign w:val="center"/>
          </w:tcPr>
          <w:p w14:paraId="46C04A88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59F82FAD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  <w:vAlign w:val="center"/>
          </w:tcPr>
          <w:p w14:paraId="2149EBBF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</w:tcPr>
          <w:p w14:paraId="1B1797F5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32D434E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BE5C771" w14:textId="2A7BF51C" w:rsidR="00A941A5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A941A5" w:rsidRPr="007B185D" w14:paraId="3BB09AAA" w14:textId="77777777" w:rsidTr="00EC436D">
        <w:trPr>
          <w:trHeight w:val="602"/>
        </w:trPr>
        <w:tc>
          <w:tcPr>
            <w:tcW w:w="2610" w:type="dxa"/>
            <w:shd w:val="clear" w:color="auto" w:fill="auto"/>
            <w:vAlign w:val="center"/>
          </w:tcPr>
          <w:p w14:paraId="75977CE7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Liaisons to Community Groups and Soliciting Working Group Members</w:t>
            </w:r>
          </w:p>
        </w:tc>
        <w:tc>
          <w:tcPr>
            <w:tcW w:w="2340" w:type="dxa"/>
            <w:vAlign w:val="center"/>
          </w:tcPr>
          <w:p w14:paraId="4F9F9750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– via Conf calls and ICANN Meetings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7CB965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3E12FA9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EE2350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</w:t>
            </w:r>
          </w:p>
        </w:tc>
        <w:tc>
          <w:tcPr>
            <w:tcW w:w="1440" w:type="dxa"/>
            <w:vAlign w:val="center"/>
          </w:tcPr>
          <w:p w14:paraId="1ACD8164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58E99E30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15666E82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</w:tcPr>
          <w:p w14:paraId="1D1678FF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22C894F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5AA2741" w14:textId="65E0D426" w:rsidR="00A941A5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A941A5" w:rsidRPr="007B185D" w14:paraId="09E2A4B2" w14:textId="77777777" w:rsidTr="00EC436D">
        <w:tc>
          <w:tcPr>
            <w:tcW w:w="2610" w:type="dxa"/>
            <w:shd w:val="clear" w:color="auto" w:fill="auto"/>
            <w:vAlign w:val="center"/>
          </w:tcPr>
          <w:p w14:paraId="012A527D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 Comment Periods</w:t>
            </w:r>
          </w:p>
        </w:tc>
        <w:tc>
          <w:tcPr>
            <w:tcW w:w="2340" w:type="dxa"/>
            <w:vAlign w:val="center"/>
          </w:tcPr>
          <w:p w14:paraId="4FAB3A02" w14:textId="7286236E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 – via Public Comments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DD4C32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10DEE" w14:textId="1A94605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402F5D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3065DCB3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4ED097AB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3575064" w14:textId="77777777" w:rsidR="00A941A5" w:rsidRPr="007B185D" w:rsidRDefault="00A941A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</w:tcPr>
          <w:p w14:paraId="7D3798A0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58E7359F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7B3DAEE" w14:textId="39010C93" w:rsidR="00A941A5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</w:tbl>
    <w:p w14:paraId="0D93B815" w14:textId="77777777" w:rsidR="007B185D" w:rsidRDefault="007B185D">
      <w:r>
        <w:br w:type="page"/>
      </w:r>
    </w:p>
    <w:tbl>
      <w:tblPr>
        <w:tblW w:w="18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160"/>
        <w:gridCol w:w="1800"/>
        <w:gridCol w:w="2610"/>
        <w:gridCol w:w="1440"/>
        <w:gridCol w:w="1440"/>
        <w:gridCol w:w="1440"/>
        <w:gridCol w:w="1350"/>
        <w:gridCol w:w="3600"/>
      </w:tblGrid>
      <w:tr w:rsidR="007B185D" w:rsidRPr="007B185D" w14:paraId="7DE2BC33" w14:textId="77777777" w:rsidTr="00EC436D">
        <w:trPr>
          <w:tblHeader/>
        </w:trPr>
        <w:tc>
          <w:tcPr>
            <w:tcW w:w="2790" w:type="dxa"/>
            <w:shd w:val="clear" w:color="auto" w:fill="auto"/>
            <w:vAlign w:val="center"/>
          </w:tcPr>
          <w:p w14:paraId="501A0D67" w14:textId="77777777" w:rsidR="007B185D" w:rsidRPr="00EC436D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160" w:type="dxa"/>
            <w:vAlign w:val="center"/>
          </w:tcPr>
          <w:p w14:paraId="12811046" w14:textId="77777777" w:rsidR="007B185D" w:rsidRPr="00EC436D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59F776" w14:textId="77777777" w:rsidR="007B185D" w:rsidRPr="00EC436D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776640" w14:textId="77777777" w:rsidR="007B185D" w:rsidRPr="00EC436D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9A6CCE" w14:textId="77777777" w:rsidR="007B185D" w:rsidRPr="00EC436D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144D0696" w14:textId="6642CBD3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440" w:type="dxa"/>
            <w:vAlign w:val="center"/>
          </w:tcPr>
          <w:p w14:paraId="6A02639C" w14:textId="6356D22A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78B43D92" w14:textId="21AC8244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Contribute</w:t>
            </w:r>
          </w:p>
        </w:tc>
        <w:tc>
          <w:tcPr>
            <w:tcW w:w="3600" w:type="dxa"/>
            <w:vAlign w:val="center"/>
          </w:tcPr>
          <w:p w14:paraId="3BFA69E5" w14:textId="77777777" w:rsidR="00EC436D" w:rsidRPr="00EC436D" w:rsidRDefault="00EC436D" w:rsidP="00EC436D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Driver </w:t>
            </w:r>
          </w:p>
          <w:p w14:paraId="35AB0B71" w14:textId="10BD4B2A" w:rsidR="007B185D" w:rsidRPr="00EC436D" w:rsidRDefault="00EC436D" w:rsidP="00EC436D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Facilitators</w:t>
            </w:r>
          </w:p>
        </w:tc>
      </w:tr>
      <w:tr w:rsidR="00686AE3" w:rsidRPr="007B185D" w14:paraId="473CFD82" w14:textId="77777777" w:rsidTr="00EC436D">
        <w:trPr>
          <w:trHeight w:val="746"/>
        </w:trPr>
        <w:tc>
          <w:tcPr>
            <w:tcW w:w="2790" w:type="dxa"/>
            <w:shd w:val="clear" w:color="auto" w:fill="auto"/>
            <w:vAlign w:val="center"/>
          </w:tcPr>
          <w:p w14:paraId="56D4F809" w14:textId="1169C4B8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 wikis</w:t>
            </w:r>
          </w:p>
        </w:tc>
        <w:tc>
          <w:tcPr>
            <w:tcW w:w="2160" w:type="dxa"/>
            <w:vAlign w:val="center"/>
          </w:tcPr>
          <w:p w14:paraId="433C540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70537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3E6AD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95DB4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6D0A018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33EA07A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434E5C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1CA30A0E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35C585CA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C6058D6" w14:textId="75AA73E4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2EFFE9A6" w14:textId="77777777" w:rsidTr="00EC436D">
        <w:tc>
          <w:tcPr>
            <w:tcW w:w="2790" w:type="dxa"/>
            <w:shd w:val="clear" w:color="auto" w:fill="auto"/>
            <w:vAlign w:val="center"/>
          </w:tcPr>
          <w:p w14:paraId="09D6302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Mailing lists</w:t>
            </w:r>
          </w:p>
        </w:tc>
        <w:tc>
          <w:tcPr>
            <w:tcW w:w="2160" w:type="dxa"/>
            <w:vAlign w:val="center"/>
          </w:tcPr>
          <w:p w14:paraId="79013BE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63E5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A744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FC36D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22CFB43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15405B3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60F76B1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00820359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16C72E86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0ED57BED" w14:textId="72507F34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559047C9" w14:textId="77777777" w:rsidTr="00EC436D">
        <w:tc>
          <w:tcPr>
            <w:tcW w:w="2790" w:type="dxa"/>
            <w:shd w:val="clear" w:color="auto" w:fill="auto"/>
            <w:vAlign w:val="center"/>
          </w:tcPr>
          <w:p w14:paraId="2AB341C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Translations</w:t>
            </w:r>
          </w:p>
        </w:tc>
        <w:tc>
          <w:tcPr>
            <w:tcW w:w="2160" w:type="dxa"/>
            <w:vAlign w:val="center"/>
          </w:tcPr>
          <w:p w14:paraId="39EF12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B16C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A72FD6" w14:textId="3B05CA4A" w:rsidR="00686AE3" w:rsidRPr="007B185D" w:rsidRDefault="000601F9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E316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52D9C2E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0718267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44885C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759628EF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1CAD4360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E4AC5BA" w14:textId="3DFE7897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5367270E" w14:textId="77777777" w:rsidTr="00EC436D">
        <w:tc>
          <w:tcPr>
            <w:tcW w:w="2790" w:type="dxa"/>
            <w:shd w:val="clear" w:color="auto" w:fill="auto"/>
            <w:vAlign w:val="center"/>
          </w:tcPr>
          <w:p w14:paraId="1B1ED458" w14:textId="682E5C9C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Brochures, Factsheets</w:t>
            </w:r>
          </w:p>
        </w:tc>
        <w:tc>
          <w:tcPr>
            <w:tcW w:w="2160" w:type="dxa"/>
            <w:vAlign w:val="center"/>
          </w:tcPr>
          <w:p w14:paraId="08C5042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3CC0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Community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B3DB8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 and engagement, Increased awareness of ICANN’s mission and the MSM; increased participation in ICANN process; better policy and technical understanding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F8CE7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4416572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281AEA9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2BA6276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3600" w:type="dxa"/>
            <w:vAlign w:val="center"/>
          </w:tcPr>
          <w:p w14:paraId="4EBBE623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1978ACC7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0435D83" w14:textId="4588FC86" w:rsidR="00254687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46381583" w14:textId="77777777" w:rsidTr="00EC436D">
        <w:tc>
          <w:tcPr>
            <w:tcW w:w="2790" w:type="dxa"/>
            <w:shd w:val="clear" w:color="auto" w:fill="auto"/>
            <w:vAlign w:val="center"/>
          </w:tcPr>
          <w:p w14:paraId="37523454" w14:textId="73C44744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Beginners Guides</w:t>
            </w:r>
          </w:p>
        </w:tc>
        <w:tc>
          <w:tcPr>
            <w:tcW w:w="2160" w:type="dxa"/>
            <w:vAlign w:val="center"/>
          </w:tcPr>
          <w:p w14:paraId="67AE581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76B24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A1A5D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Recruitment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64A38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75E1DA7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7485F2A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  <w:vAlign w:val="center"/>
          </w:tcPr>
          <w:p w14:paraId="51BA9CC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3600" w:type="dxa"/>
            <w:vAlign w:val="center"/>
          </w:tcPr>
          <w:p w14:paraId="186F6D35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5BD3E42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F1E3DDC" w14:textId="480A1FB3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51377702" w14:textId="77777777" w:rsidTr="00EC436D">
        <w:tc>
          <w:tcPr>
            <w:tcW w:w="2790" w:type="dxa"/>
            <w:shd w:val="clear" w:color="auto" w:fill="auto"/>
            <w:vAlign w:val="center"/>
          </w:tcPr>
          <w:p w14:paraId="709E0E5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Podcasts</w:t>
            </w:r>
          </w:p>
        </w:tc>
        <w:tc>
          <w:tcPr>
            <w:tcW w:w="2160" w:type="dxa"/>
            <w:vAlign w:val="center"/>
          </w:tcPr>
          <w:p w14:paraId="7A9911F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5251F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At-Large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1E937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0B50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Monthly, ICANN Meetings</w:t>
            </w:r>
          </w:p>
        </w:tc>
        <w:tc>
          <w:tcPr>
            <w:tcW w:w="1440" w:type="dxa"/>
            <w:vAlign w:val="center"/>
          </w:tcPr>
          <w:p w14:paraId="4726F6B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3CD410E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2E98D41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0750B9AD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3EEFD4F3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80C76D4" w14:textId="11C94379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5DB28616" w14:textId="77777777" w:rsidTr="00EC436D">
        <w:tc>
          <w:tcPr>
            <w:tcW w:w="2790" w:type="dxa"/>
            <w:shd w:val="clear" w:color="auto" w:fill="auto"/>
            <w:vAlign w:val="center"/>
          </w:tcPr>
          <w:p w14:paraId="57DD795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CC NSO Training and workshops</w:t>
            </w:r>
          </w:p>
        </w:tc>
        <w:tc>
          <w:tcPr>
            <w:tcW w:w="2160" w:type="dxa"/>
            <w:vAlign w:val="center"/>
          </w:tcPr>
          <w:p w14:paraId="6684005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0E540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ccTLD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BBBBB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1CFD2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11277D7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3304BA4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576A5E2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1670AD36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BB1A7B0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6A9DDE6" w14:textId="697AF82E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39B01BF8" w14:textId="77777777" w:rsidTr="00EC436D">
        <w:tc>
          <w:tcPr>
            <w:tcW w:w="2790" w:type="dxa"/>
            <w:shd w:val="clear" w:color="auto" w:fill="auto"/>
            <w:vAlign w:val="center"/>
          </w:tcPr>
          <w:p w14:paraId="24CEE96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 Large General Assemblies</w:t>
            </w:r>
          </w:p>
        </w:tc>
        <w:tc>
          <w:tcPr>
            <w:tcW w:w="2160" w:type="dxa"/>
            <w:vAlign w:val="center"/>
          </w:tcPr>
          <w:p w14:paraId="30DD3ECE" w14:textId="036CF6DD" w:rsidR="00686AE3" w:rsidRPr="007B185D" w:rsidRDefault="003D3F9B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– Via Conf Call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BF40A0" w14:textId="33C36F83" w:rsidR="00686AE3" w:rsidRPr="007B185D" w:rsidRDefault="007B185D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At-Large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1F0128" w14:textId="040AF771" w:rsidR="00686AE3" w:rsidRPr="007B185D" w:rsidRDefault="007B185D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7C3CD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5737C2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1126D46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19AF3CA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06EF39CE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2895001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2B58B5B" w14:textId="08CF0ABC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</w:tbl>
    <w:p w14:paraId="6867107E" w14:textId="77777777" w:rsidR="000601F9" w:rsidRPr="007B185D" w:rsidRDefault="000601F9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br w:type="page"/>
      </w:r>
    </w:p>
    <w:tbl>
      <w:tblPr>
        <w:tblW w:w="18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2340"/>
        <w:gridCol w:w="1620"/>
        <w:gridCol w:w="2610"/>
        <w:gridCol w:w="1440"/>
        <w:gridCol w:w="1440"/>
        <w:gridCol w:w="1440"/>
        <w:gridCol w:w="1350"/>
        <w:gridCol w:w="3780"/>
      </w:tblGrid>
      <w:tr w:rsidR="000601F9" w:rsidRPr="007B185D" w14:paraId="7FBD2270" w14:textId="77777777" w:rsidTr="00EC436D">
        <w:trPr>
          <w:tblHeader/>
        </w:trPr>
        <w:tc>
          <w:tcPr>
            <w:tcW w:w="2610" w:type="dxa"/>
            <w:shd w:val="clear" w:color="auto" w:fill="auto"/>
            <w:vAlign w:val="center"/>
          </w:tcPr>
          <w:p w14:paraId="76D8C014" w14:textId="77777777" w:rsidR="000601F9" w:rsidRPr="00EC436D" w:rsidRDefault="000601F9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340" w:type="dxa"/>
            <w:vAlign w:val="center"/>
          </w:tcPr>
          <w:p w14:paraId="744DBD11" w14:textId="77777777" w:rsidR="000601F9" w:rsidRPr="00EC436D" w:rsidRDefault="000601F9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Type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5B347A" w14:textId="77777777" w:rsidR="000601F9" w:rsidRPr="00EC436D" w:rsidRDefault="000601F9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F91D89" w14:textId="77777777" w:rsidR="000601F9" w:rsidRPr="00EC436D" w:rsidRDefault="000601F9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EEFC37" w14:textId="77777777" w:rsidR="000601F9" w:rsidRPr="00EC436D" w:rsidRDefault="000601F9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644EB5F3" w14:textId="454AE4C5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Awareness</w:t>
            </w:r>
          </w:p>
        </w:tc>
        <w:tc>
          <w:tcPr>
            <w:tcW w:w="1440" w:type="dxa"/>
            <w:vAlign w:val="center"/>
          </w:tcPr>
          <w:p w14:paraId="3AA721AA" w14:textId="778B7AD3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38C3504C" w14:textId="1D170923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Contribute</w:t>
            </w:r>
          </w:p>
        </w:tc>
        <w:tc>
          <w:tcPr>
            <w:tcW w:w="3780" w:type="dxa"/>
            <w:vAlign w:val="center"/>
          </w:tcPr>
          <w:p w14:paraId="1CA56844" w14:textId="77777777" w:rsidR="00EC436D" w:rsidRPr="00EC436D" w:rsidRDefault="00EC436D" w:rsidP="00EC436D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Driver </w:t>
            </w:r>
          </w:p>
          <w:p w14:paraId="37EC4FC6" w14:textId="109DAE94" w:rsidR="000601F9" w:rsidRPr="00EC436D" w:rsidRDefault="00EC436D" w:rsidP="00EC436D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Facilitators</w:t>
            </w:r>
          </w:p>
        </w:tc>
      </w:tr>
      <w:tr w:rsidR="00686AE3" w:rsidRPr="007B185D" w14:paraId="3C597072" w14:textId="77777777" w:rsidTr="00EC436D">
        <w:tc>
          <w:tcPr>
            <w:tcW w:w="2610" w:type="dxa"/>
            <w:shd w:val="clear" w:color="auto" w:fill="auto"/>
            <w:vAlign w:val="center"/>
          </w:tcPr>
          <w:p w14:paraId="342DC0F3" w14:textId="76184B8B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Social Media</w:t>
            </w:r>
          </w:p>
        </w:tc>
        <w:tc>
          <w:tcPr>
            <w:tcW w:w="2340" w:type="dxa"/>
            <w:vAlign w:val="center"/>
          </w:tcPr>
          <w:p w14:paraId="5A500B88" w14:textId="1D89BBFB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D757C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ICANN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F4EE19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31C44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004306B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2665AC8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25981E7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481677AF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0FA4DD1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7D5B3A4" w14:textId="3D880B37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05BC2E67" w14:textId="77777777" w:rsidTr="00EC436D">
        <w:tc>
          <w:tcPr>
            <w:tcW w:w="2610" w:type="dxa"/>
            <w:shd w:val="clear" w:color="auto" w:fill="auto"/>
            <w:vAlign w:val="center"/>
          </w:tcPr>
          <w:p w14:paraId="4E3BA566" w14:textId="54F0B160" w:rsidR="00686AE3" w:rsidRPr="007B185D" w:rsidRDefault="000601F9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686AE3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Fellowship Program</w:t>
            </w:r>
          </w:p>
        </w:tc>
        <w:tc>
          <w:tcPr>
            <w:tcW w:w="2340" w:type="dxa"/>
            <w:vAlign w:val="center"/>
          </w:tcPr>
          <w:p w14:paraId="614507A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447EF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Individuals from developing and least developed nations with interest in internet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C6D07F" w14:textId="6630637F" w:rsidR="00686AE3" w:rsidRPr="007B185D" w:rsidRDefault="007B185D" w:rsidP="007B185D">
            <w:pPr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Recruitment of new participants, increased participation and knowledge of ICANN structures and processes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39760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During ICANN Meetings</w:t>
            </w:r>
          </w:p>
        </w:tc>
        <w:tc>
          <w:tcPr>
            <w:tcW w:w="1440" w:type="dxa"/>
            <w:vAlign w:val="center"/>
          </w:tcPr>
          <w:p w14:paraId="03718E8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3674F2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F7EB06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074F120D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F743E48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A435FB9" w14:textId="29864DE3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098DA333" w14:textId="77777777" w:rsidTr="00EC436D">
        <w:tc>
          <w:tcPr>
            <w:tcW w:w="2610" w:type="dxa"/>
            <w:shd w:val="clear" w:color="auto" w:fill="auto"/>
            <w:vAlign w:val="center"/>
          </w:tcPr>
          <w:p w14:paraId="1F4CD20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 Speaking and Attendance at Various events</w:t>
            </w:r>
          </w:p>
        </w:tc>
        <w:tc>
          <w:tcPr>
            <w:tcW w:w="2340" w:type="dxa"/>
            <w:vAlign w:val="center"/>
          </w:tcPr>
          <w:p w14:paraId="612126C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D8DBB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Type of stakeholder represented by the industry event</w:t>
            </w:r>
          </w:p>
          <w:p w14:paraId="4D728D6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EA81EB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Increased awareness of ICANN’s mission and the MSM; increased participation in ICANN processes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AEE19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1A12386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480A7E4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559ACF0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232DEAB8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339256B5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F05B8C1" w14:textId="10152AA2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0BD33499" w14:textId="77777777" w:rsidTr="00EC436D">
        <w:tc>
          <w:tcPr>
            <w:tcW w:w="2610" w:type="dxa"/>
            <w:shd w:val="clear" w:color="auto" w:fill="auto"/>
            <w:vAlign w:val="center"/>
          </w:tcPr>
          <w:p w14:paraId="19BAA243" w14:textId="1A8D7370" w:rsidR="00686AE3" w:rsidRPr="007B185D" w:rsidRDefault="00686AE3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One on one </w:t>
            </w:r>
            <w:r w:rsidR="00545599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briefings</w:t>
            </w:r>
            <w:r w:rsidR="00545599">
              <w:rPr>
                <w:rFonts w:ascii="Century Gothic" w:hAnsi="Century Gothic"/>
                <w:sz w:val="20"/>
                <w:szCs w:val="20"/>
                <w:lang w:bidi="x-none"/>
              </w:rPr>
              <w:t>:</w:t>
            </w:r>
            <w:r w:rsidR="00545599"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="00545599">
              <w:rPr>
                <w:rFonts w:ascii="Century Gothic" w:hAnsi="Century Gothic"/>
                <w:sz w:val="20"/>
                <w:szCs w:val="20"/>
                <w:lang w:bidi="x-none"/>
              </w:rPr>
              <w:t>government, regional, organizations</w:t>
            </w:r>
          </w:p>
        </w:tc>
        <w:tc>
          <w:tcPr>
            <w:tcW w:w="2340" w:type="dxa"/>
            <w:vAlign w:val="center"/>
          </w:tcPr>
          <w:p w14:paraId="27EFA9C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51DF90" w14:textId="7B4B807F" w:rsidR="00686AE3" w:rsidRPr="007B185D" w:rsidRDefault="00686AE3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Ministers</w:t>
            </w:r>
            <w:r w:rsidR="00545599">
              <w:rPr>
                <w:rFonts w:ascii="Century Gothic" w:hAnsi="Century Gothic"/>
                <w:sz w:val="20"/>
                <w:szCs w:val="20"/>
                <w:lang w:bidi="x-none"/>
              </w:rPr>
              <w:t>, technical, security and policy minded individuals and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FA52B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of ICANN’s role and the technical aspects of the work. Support for the MSM, Signed agreement as appropriate with ICANN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44AB5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526E3FE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A95B70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0C9BD0B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50A33E1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192065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A0A3FD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763F640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8ED73C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87F704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0D5ADC23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1BBDE7D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C037603" w14:textId="4F534EF4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9A6611" w:rsidRPr="007B185D" w14:paraId="31037F3C" w14:textId="77777777" w:rsidTr="00EC436D">
        <w:tc>
          <w:tcPr>
            <w:tcW w:w="2610" w:type="dxa"/>
            <w:shd w:val="clear" w:color="auto" w:fill="auto"/>
            <w:vAlign w:val="center"/>
          </w:tcPr>
          <w:p w14:paraId="7E9D3BAF" w14:textId="62C17755" w:rsidR="009A6611" w:rsidRDefault="009A6611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Participation in IGF</w:t>
            </w:r>
          </w:p>
        </w:tc>
        <w:tc>
          <w:tcPr>
            <w:tcW w:w="2340" w:type="dxa"/>
            <w:vAlign w:val="center"/>
          </w:tcPr>
          <w:p w14:paraId="7107B776" w14:textId="136D3AD1" w:rsidR="009A6611" w:rsidRDefault="009A6611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1612B1" w14:textId="607628A2" w:rsidR="009A6611" w:rsidRDefault="009A6611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Organizations outside of ICANN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C3EB56" w14:textId="5132BBC9" w:rsidR="009A6611" w:rsidRPr="000D4B55" w:rsidRDefault="009A6611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For FY13, ICANN will establish a fund for IGF</w:t>
            </w:r>
            <w:r w:rsidRPr="000D4B55">
              <w:rPr>
                <w:rFonts w:ascii="Cambria Math" w:hAnsi="Cambria Math" w:cs="Cambria Math"/>
                <w:sz w:val="20"/>
                <w:szCs w:val="20"/>
                <w:lang w:bidi="x-none"/>
              </w:rPr>
              <w:t>‐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Baku participation. </w:t>
            </w:r>
          </w:p>
          <w:p w14:paraId="2DEE0DA6" w14:textId="67198FE1" w:rsidR="009A6611" w:rsidRPr="000D4B55" w:rsidRDefault="009A6611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Expenses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would include staff coordination time, reception and travel support to the IGF for</w:t>
            </w:r>
          </w:p>
          <w:p w14:paraId="79D7EEA2" w14:textId="31A84E78" w:rsidR="009A6611" w:rsidRPr="000D4B55" w:rsidRDefault="009A6611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A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greed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upon ICANN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travellers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EAB0FD" w14:textId="459B3541" w:rsidR="009A6611" w:rsidRDefault="009A66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FY13</w:t>
            </w:r>
          </w:p>
        </w:tc>
        <w:tc>
          <w:tcPr>
            <w:tcW w:w="1440" w:type="dxa"/>
            <w:vAlign w:val="center"/>
          </w:tcPr>
          <w:p w14:paraId="4551F700" w14:textId="77777777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47D9BE1" w14:textId="77777777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594C895" w14:textId="11D201A0" w:rsidR="009A6611" w:rsidRPr="007B185D" w:rsidRDefault="009A66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40950668" w14:textId="77777777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0238EDC" w14:textId="77777777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7DFBA8B" w14:textId="5F2C67E9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D044C19" w14:textId="77777777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50031B5E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23DC92E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8E8409C" w14:textId="375BAFFF" w:rsidR="009A6611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</w:tbl>
    <w:p w14:paraId="5DCB156C" w14:textId="77777777" w:rsidR="000D4B55" w:rsidRDefault="000D4B55">
      <w:r>
        <w:br w:type="page"/>
      </w:r>
    </w:p>
    <w:tbl>
      <w:tblPr>
        <w:tblW w:w="18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2340"/>
        <w:gridCol w:w="1620"/>
        <w:gridCol w:w="2610"/>
        <w:gridCol w:w="1440"/>
        <w:gridCol w:w="1440"/>
        <w:gridCol w:w="1440"/>
        <w:gridCol w:w="1350"/>
        <w:gridCol w:w="3780"/>
      </w:tblGrid>
      <w:tr w:rsidR="00EC436D" w:rsidRPr="007B185D" w14:paraId="4E9A4267" w14:textId="77777777" w:rsidTr="00EC436D">
        <w:tc>
          <w:tcPr>
            <w:tcW w:w="2610" w:type="dxa"/>
            <w:shd w:val="clear" w:color="auto" w:fill="auto"/>
            <w:vAlign w:val="center"/>
          </w:tcPr>
          <w:p w14:paraId="6B0A8886" w14:textId="6466F9EE" w:rsidR="00EC436D" w:rsidRPr="00EC436D" w:rsidRDefault="00EC436D" w:rsidP="00545599">
            <w:pPr>
              <w:jc w:val="center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340" w:type="dxa"/>
            <w:vAlign w:val="center"/>
          </w:tcPr>
          <w:p w14:paraId="0E247E89" w14:textId="5D8F116D" w:rsidR="00EC436D" w:rsidRPr="00EC436D" w:rsidRDefault="00EC436D" w:rsidP="000601F9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Type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16F901" w14:textId="549C6700" w:rsidR="00EC436D" w:rsidRPr="00EC436D" w:rsidRDefault="00EC436D" w:rsidP="00545599">
            <w:pPr>
              <w:jc w:val="center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5B6DC8" w14:textId="0F285421" w:rsidR="00EC436D" w:rsidRPr="00EC436D" w:rsidRDefault="00EC436D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8F8A5D" w14:textId="19302366" w:rsidR="00EC436D" w:rsidRPr="00EC436D" w:rsidRDefault="00EC436D" w:rsidP="000601F9">
            <w:pPr>
              <w:jc w:val="center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2CBC039A" w14:textId="09C3752B" w:rsidR="00EC436D" w:rsidRPr="00EC436D" w:rsidRDefault="00EC436D" w:rsidP="000601F9">
            <w:pPr>
              <w:jc w:val="center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Awareness</w:t>
            </w:r>
          </w:p>
        </w:tc>
        <w:tc>
          <w:tcPr>
            <w:tcW w:w="1440" w:type="dxa"/>
            <w:vAlign w:val="center"/>
          </w:tcPr>
          <w:p w14:paraId="43E3016A" w14:textId="0AD0E4F7" w:rsidR="00EC436D" w:rsidRPr="00EC436D" w:rsidRDefault="00EC436D" w:rsidP="00FD01FF">
            <w:pPr>
              <w:jc w:val="center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76BA0A82" w14:textId="3079F85B" w:rsidR="00EC436D" w:rsidRPr="00EC436D" w:rsidRDefault="00EC436D" w:rsidP="00FD01FF">
            <w:pPr>
              <w:jc w:val="center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Contribute</w:t>
            </w:r>
          </w:p>
        </w:tc>
        <w:tc>
          <w:tcPr>
            <w:tcW w:w="3780" w:type="dxa"/>
            <w:vAlign w:val="center"/>
          </w:tcPr>
          <w:p w14:paraId="52399665" w14:textId="77777777" w:rsidR="00EC436D" w:rsidRPr="00EC436D" w:rsidRDefault="00EC436D" w:rsidP="00FD01FF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Driver </w:t>
            </w:r>
          </w:p>
          <w:p w14:paraId="5A32169C" w14:textId="064B8AA5" w:rsidR="00EC436D" w:rsidRPr="00EC436D" w:rsidRDefault="00EC436D" w:rsidP="00EC436D">
            <w:pPr>
              <w:jc w:val="center"/>
              <w:rPr>
                <w:rFonts w:ascii="Century Gothic" w:hAnsi="Century Gothic"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Facilitators</w:t>
            </w:r>
          </w:p>
        </w:tc>
      </w:tr>
      <w:tr w:rsidR="000D4B55" w:rsidRPr="007B185D" w14:paraId="68710408" w14:textId="77777777" w:rsidTr="00EC436D">
        <w:tc>
          <w:tcPr>
            <w:tcW w:w="2610" w:type="dxa"/>
            <w:shd w:val="clear" w:color="auto" w:fill="auto"/>
            <w:vAlign w:val="center"/>
          </w:tcPr>
          <w:p w14:paraId="56B9E10E" w14:textId="7742EEAB" w:rsidR="000D4B55" w:rsidRPr="007B185D" w:rsidRDefault="000D4B55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Leadership Travel Support</w:t>
            </w:r>
          </w:p>
        </w:tc>
        <w:tc>
          <w:tcPr>
            <w:tcW w:w="2340" w:type="dxa"/>
            <w:vAlign w:val="center"/>
          </w:tcPr>
          <w:p w14:paraId="33FBB83E" w14:textId="3701DA11" w:rsidR="000D4B55" w:rsidRPr="007B185D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F2F and 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D7FA6A" w14:textId="5D178701" w:rsidR="000D4B55" w:rsidRPr="007B185D" w:rsidRDefault="000D4B55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 Leaders and Delegates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5B3BB" w14:textId="5A81BABD" w:rsidR="000D4B55" w:rsidRPr="000D4B55" w:rsidRDefault="000D4B55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ICANN has granted the travel support of 3 officers of the NCSG</w:t>
            </w:r>
          </w:p>
          <w:p w14:paraId="36966CE5" w14:textId="65B12AAD" w:rsidR="000D4B55" w:rsidRPr="007B185D" w:rsidRDefault="000D4B55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Executive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committee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to participate in the F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>Y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13 ICANN meetings. Also given that there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are only two ICANN meetings in FY13, ICANN commits 3 travels slots per each non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>-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contracted GNSO Constituency to fund Constituency leadership or their designates'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travel to ICANN Public Meetings. Additionally, SSAC request of 5 additional travel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support slots has been 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>a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pproved. It is hoped that the funding of additional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leadership participation will help promote local outreach where the ICANN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meetings are being held</w:t>
            </w:r>
          </w:p>
          <w:p w14:paraId="2AAE90D2" w14:textId="73552554" w:rsidR="000D4B55" w:rsidRPr="007B185D" w:rsidRDefault="000D4B55" w:rsidP="000D4B55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F699BD" w14:textId="20A20D34" w:rsidR="000D4B55" w:rsidRPr="007B185D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Each ICANN Meeting</w:t>
            </w:r>
          </w:p>
        </w:tc>
        <w:tc>
          <w:tcPr>
            <w:tcW w:w="1440" w:type="dxa"/>
            <w:vAlign w:val="center"/>
          </w:tcPr>
          <w:p w14:paraId="6074AC25" w14:textId="77777777" w:rsidR="000D4B55" w:rsidRPr="007B185D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57A7A391" w14:textId="77777777" w:rsidR="000D4B55" w:rsidRPr="007B185D" w:rsidRDefault="000D4B55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53ACEBC" w14:textId="77777777" w:rsidR="000D4B55" w:rsidRPr="007B185D" w:rsidRDefault="000D4B55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6FCE207" w14:textId="4C19F310" w:rsidR="000D4B55" w:rsidRPr="007B185D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1A8E94D1" w14:textId="77777777" w:rsidR="000D4B55" w:rsidRPr="007B185D" w:rsidRDefault="000D4B55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AEFCDE5" w14:textId="77777777" w:rsidR="000D4B55" w:rsidRPr="007B185D" w:rsidRDefault="000D4B55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E781789" w14:textId="0CBABE55" w:rsidR="000D4B55" w:rsidRPr="007B185D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45A93A1E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8277070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02BB950" w14:textId="6C111C80" w:rsidR="000D4B55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0D4B55" w:rsidRPr="007B185D" w14:paraId="21713F66" w14:textId="77777777" w:rsidTr="00EC436D">
        <w:tc>
          <w:tcPr>
            <w:tcW w:w="2610" w:type="dxa"/>
            <w:shd w:val="clear" w:color="auto" w:fill="auto"/>
            <w:vAlign w:val="center"/>
          </w:tcPr>
          <w:p w14:paraId="3715C0B2" w14:textId="46FC2F1B" w:rsidR="000D4B55" w:rsidRDefault="000D4B55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Outreach Materials</w:t>
            </w:r>
          </w:p>
        </w:tc>
        <w:tc>
          <w:tcPr>
            <w:tcW w:w="2340" w:type="dxa"/>
            <w:vAlign w:val="center"/>
          </w:tcPr>
          <w:p w14:paraId="588E3053" w14:textId="53A80742" w:rsidR="000D4B55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Factsheets, Brochures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E0BAD0" w14:textId="3001BE59" w:rsidR="000D4B55" w:rsidRDefault="000D4B55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 Groups Future Participants</w:t>
            </w:r>
            <w:r w:rsidR="009A6611">
              <w:rPr>
                <w:rFonts w:ascii="Century Gothic" w:hAnsi="Century Gothic"/>
                <w:sz w:val="20"/>
                <w:szCs w:val="20"/>
                <w:lang w:bidi="x-none"/>
              </w:rPr>
              <w:t>, Organizations outside of ICANN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5A1BC8" w14:textId="77777777" w:rsidR="000D4B55" w:rsidRPr="000D4B55" w:rsidRDefault="000D4B55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ICANN recognizes the need for outreach.</w:t>
            </w:r>
          </w:p>
          <w:p w14:paraId="51E8A52A" w14:textId="77777777" w:rsidR="000D4B55" w:rsidRPr="000D4B55" w:rsidRDefault="000D4B55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Core resources have been added for publications assistance to the PDS budget for</w:t>
            </w:r>
          </w:p>
          <w:p w14:paraId="65153078" w14:textId="77777777" w:rsidR="000D4B55" w:rsidRPr="000D4B55" w:rsidRDefault="000D4B55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Five (5) constituencies. These funds will be </w:t>
            </w: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available for ICANN to arrange printing,</w:t>
            </w:r>
          </w:p>
          <w:p w14:paraId="78F1613A" w14:textId="77777777" w:rsidR="000D4B55" w:rsidRPr="000D4B55" w:rsidRDefault="000D4B55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translation (up to 2 languages) and shipping of publications to ICANN Public</w:t>
            </w:r>
          </w:p>
          <w:p w14:paraId="056BB587" w14:textId="5F2BF504" w:rsidR="000D4B55" w:rsidRPr="000D4B55" w:rsidRDefault="000D4B55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proofErr w:type="gramStart"/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>meetings</w:t>
            </w:r>
            <w:proofErr w:type="gramEnd"/>
            <w:r w:rsidRPr="000D4B5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(not content production).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1FA81B" w14:textId="48C5FDE4" w:rsidR="000D4B55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As needed within funding</w:t>
            </w:r>
          </w:p>
        </w:tc>
        <w:tc>
          <w:tcPr>
            <w:tcW w:w="1440" w:type="dxa"/>
            <w:vAlign w:val="center"/>
          </w:tcPr>
          <w:p w14:paraId="2980BFCB" w14:textId="77300570" w:rsidR="000D4B55" w:rsidRPr="007B185D" w:rsidRDefault="000D4B5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4B4A9A20" w14:textId="084D8E94" w:rsidR="000D4B55" w:rsidRPr="007B185D" w:rsidRDefault="000D4B55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08078D21" w14:textId="77777777" w:rsidR="000D4B55" w:rsidRPr="007B185D" w:rsidRDefault="000D4B55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1AC4C8C8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A574DEB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4BDD3C0" w14:textId="5254D8C2" w:rsidR="000D4B55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9A6611" w:rsidRPr="007B185D" w14:paraId="793324C7" w14:textId="77777777" w:rsidTr="00EC436D">
        <w:tc>
          <w:tcPr>
            <w:tcW w:w="2610" w:type="dxa"/>
            <w:shd w:val="clear" w:color="auto" w:fill="auto"/>
            <w:vAlign w:val="center"/>
          </w:tcPr>
          <w:p w14:paraId="672496F5" w14:textId="4BB19452" w:rsidR="009A6611" w:rsidRDefault="009A6611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Capacity Building</w:t>
            </w:r>
          </w:p>
        </w:tc>
        <w:tc>
          <w:tcPr>
            <w:tcW w:w="2340" w:type="dxa"/>
            <w:vAlign w:val="center"/>
          </w:tcPr>
          <w:p w14:paraId="01C0301D" w14:textId="7693F9C2" w:rsidR="009A6611" w:rsidRDefault="009A6611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F2F and Workshops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028CB8" w14:textId="46DE5401" w:rsidR="009A6611" w:rsidRDefault="009A6611" w:rsidP="0054559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 Members and Potential Participants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5E17DDD" w14:textId="77777777" w:rsidR="009A6611" w:rsidRPr="000F7925" w:rsidRDefault="009A6611" w:rsidP="00FD01F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ICANN recognizes the need for capacity building for the SO/AC, to that effect ICANN</w:t>
            </w:r>
          </w:p>
          <w:p w14:paraId="0DDD53EE" w14:textId="56A660D3" w:rsidR="009A6611" w:rsidRPr="000D4B55" w:rsidRDefault="009A6611" w:rsidP="000D4B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proofErr w:type="gramStart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will</w:t>
            </w:r>
            <w:proofErr w:type="gramEnd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provide funds to support various face to face meetings and workshops at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ICANN meetings, or where appropriate other Internet Community Conferences.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The SSAC annual intercessional will also be funded in FY13 to enable in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depth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collaboration and in person meetings to develop SSAC annual </w:t>
            </w:r>
            <w:proofErr w:type="spellStart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workplan</w:t>
            </w:r>
            <w:proofErr w:type="spellEnd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E976D9" w14:textId="47DD5AD0" w:rsidR="009A6611" w:rsidRDefault="009A66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FY13</w:t>
            </w:r>
          </w:p>
        </w:tc>
        <w:tc>
          <w:tcPr>
            <w:tcW w:w="1440" w:type="dxa"/>
            <w:vAlign w:val="center"/>
          </w:tcPr>
          <w:p w14:paraId="5D81552C" w14:textId="11F1C770" w:rsidR="009A6611" w:rsidRPr="007B185D" w:rsidRDefault="009A66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45AD59DE" w14:textId="037CE06B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265D6E2B" w14:textId="68BA1C58" w:rsidR="009A6611" w:rsidRPr="007B185D" w:rsidRDefault="009A6611" w:rsidP="00FD01FF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21E46F70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5393D8D4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9583D43" w14:textId="69F21F3F" w:rsidR="009A6611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</w:tbl>
    <w:p w14:paraId="6C703FCB" w14:textId="77777777" w:rsidR="00230DAC" w:rsidRPr="007B185D" w:rsidRDefault="00230DAC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br w:type="page"/>
      </w:r>
    </w:p>
    <w:tbl>
      <w:tblPr>
        <w:tblW w:w="18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2340"/>
        <w:gridCol w:w="1620"/>
        <w:gridCol w:w="2610"/>
        <w:gridCol w:w="1440"/>
        <w:gridCol w:w="1440"/>
        <w:gridCol w:w="1440"/>
        <w:gridCol w:w="1350"/>
        <w:gridCol w:w="3780"/>
      </w:tblGrid>
      <w:tr w:rsidR="00230DAC" w:rsidRPr="007B185D" w14:paraId="7A8E6CAC" w14:textId="77777777" w:rsidTr="00EC436D">
        <w:trPr>
          <w:tblHeader/>
        </w:trPr>
        <w:tc>
          <w:tcPr>
            <w:tcW w:w="2610" w:type="dxa"/>
            <w:shd w:val="clear" w:color="auto" w:fill="auto"/>
            <w:vAlign w:val="center"/>
          </w:tcPr>
          <w:p w14:paraId="2607E457" w14:textId="77777777" w:rsidR="00230DAC" w:rsidRPr="00EC436D" w:rsidRDefault="00230DAC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340" w:type="dxa"/>
            <w:vAlign w:val="center"/>
          </w:tcPr>
          <w:p w14:paraId="17CFA457" w14:textId="77777777" w:rsidR="00230DAC" w:rsidRPr="00EC436D" w:rsidRDefault="00230DAC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Type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E06311" w14:textId="77777777" w:rsidR="00230DAC" w:rsidRPr="00EC436D" w:rsidRDefault="00230DAC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454544" w14:textId="77777777" w:rsidR="00230DAC" w:rsidRPr="00EC436D" w:rsidRDefault="00230DAC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7EFD1F" w14:textId="77777777" w:rsidR="00230DAC" w:rsidRPr="00EC436D" w:rsidRDefault="00230DAC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60C169AC" w14:textId="3E854982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Awareness</w:t>
            </w:r>
          </w:p>
        </w:tc>
        <w:tc>
          <w:tcPr>
            <w:tcW w:w="1440" w:type="dxa"/>
            <w:vAlign w:val="center"/>
          </w:tcPr>
          <w:p w14:paraId="76FFDC66" w14:textId="58A68EF2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50B72AFE" w14:textId="4FF69C0B" w:rsidR="00DC4937" w:rsidRPr="00EC436D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Contribute</w:t>
            </w:r>
          </w:p>
        </w:tc>
        <w:tc>
          <w:tcPr>
            <w:tcW w:w="3780" w:type="dxa"/>
            <w:vAlign w:val="center"/>
          </w:tcPr>
          <w:p w14:paraId="6EDDEF7D" w14:textId="77777777" w:rsidR="00EC436D" w:rsidRPr="00EC436D" w:rsidRDefault="00EC436D" w:rsidP="00EC436D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Driver </w:t>
            </w:r>
          </w:p>
          <w:p w14:paraId="1DF9285E" w14:textId="53398EFC" w:rsidR="00230DAC" w:rsidRPr="00EC436D" w:rsidRDefault="00EC436D" w:rsidP="00EC436D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EC436D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Facilitators</w:t>
            </w:r>
          </w:p>
        </w:tc>
      </w:tr>
      <w:tr w:rsidR="00686AE3" w:rsidRPr="007B185D" w14:paraId="0EC84AA8" w14:textId="77777777" w:rsidTr="00EC436D">
        <w:tc>
          <w:tcPr>
            <w:tcW w:w="2610" w:type="dxa"/>
            <w:shd w:val="clear" w:color="auto" w:fill="auto"/>
            <w:vAlign w:val="center"/>
          </w:tcPr>
          <w:p w14:paraId="40958D73" w14:textId="4D3D9E81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Teaching and Training workshops</w:t>
            </w:r>
          </w:p>
        </w:tc>
        <w:tc>
          <w:tcPr>
            <w:tcW w:w="2340" w:type="dxa"/>
            <w:vAlign w:val="center"/>
          </w:tcPr>
          <w:p w14:paraId="446053A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756C68" w14:textId="73848312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Depends on setting, may be graduate students in policy training, government ministers getting certification, managers implementing </w:t>
            </w:r>
            <w:r w:rsidR="003D3F9B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DNSSEC</w:t>
            </w: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, etc.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9CCA39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of best practices and the security, stability and interoperability of the Internet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AD324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616E6D6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6468482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0FA51F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52FB8194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15A6DC97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CC077FF" w14:textId="3D694DD2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51F38492" w14:textId="77777777" w:rsidTr="00EC436D">
        <w:tc>
          <w:tcPr>
            <w:tcW w:w="2610" w:type="dxa"/>
            <w:shd w:val="clear" w:color="auto" w:fill="auto"/>
            <w:vAlign w:val="center"/>
          </w:tcPr>
          <w:p w14:paraId="34E4BA6A" w14:textId="62D9376E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website updates, Announcements, News releases, Blog postings, Media Services, Press events, Social Media</w:t>
            </w:r>
          </w:p>
        </w:tc>
        <w:tc>
          <w:tcPr>
            <w:tcW w:w="2340" w:type="dxa"/>
            <w:vAlign w:val="center"/>
          </w:tcPr>
          <w:p w14:paraId="45D054D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 and Online Engagement Tools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5492C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8EC23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BE8CF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7F33457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6CFC96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11D4C7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73E444EE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173549C3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C0AB5F6" w14:textId="725B7582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1E9CBDE3" w14:textId="77777777" w:rsidTr="00EC436D">
        <w:tc>
          <w:tcPr>
            <w:tcW w:w="2610" w:type="dxa"/>
            <w:shd w:val="clear" w:color="auto" w:fill="auto"/>
            <w:vAlign w:val="center"/>
          </w:tcPr>
          <w:p w14:paraId="0631A59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 Report</w:t>
            </w:r>
          </w:p>
        </w:tc>
        <w:tc>
          <w:tcPr>
            <w:tcW w:w="2340" w:type="dxa"/>
            <w:vAlign w:val="center"/>
          </w:tcPr>
          <w:p w14:paraId="39AA4F7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B6AE1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4194D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F849A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1440" w:type="dxa"/>
            <w:vAlign w:val="center"/>
          </w:tcPr>
          <w:p w14:paraId="022DAEE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2D9BD91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4EE3326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621F7C59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6CF24589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D115FFF" w14:textId="2562857E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280DBDB1" w14:textId="77777777" w:rsidTr="00EC436D">
        <w:tc>
          <w:tcPr>
            <w:tcW w:w="2610" w:type="dxa"/>
            <w:shd w:val="clear" w:color="auto" w:fill="auto"/>
            <w:vAlign w:val="center"/>
          </w:tcPr>
          <w:p w14:paraId="7E2D77D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Newcomers Program</w:t>
            </w:r>
          </w:p>
        </w:tc>
        <w:tc>
          <w:tcPr>
            <w:tcW w:w="2340" w:type="dxa"/>
            <w:vAlign w:val="center"/>
          </w:tcPr>
          <w:p w14:paraId="315C67A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0129A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Mainly Newcomers but open to all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A7465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 and engagement, Increased awareness of ICANN’s mission and the MSM; increased participation in ICANN process; better policy and technical understanding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42D95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At ICANN meetings</w:t>
            </w:r>
          </w:p>
        </w:tc>
        <w:tc>
          <w:tcPr>
            <w:tcW w:w="1440" w:type="dxa"/>
            <w:vAlign w:val="center"/>
          </w:tcPr>
          <w:p w14:paraId="1F99A97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6507FF0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7ED0410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4FA7FBD4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A74D1AC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AFC3B5D" w14:textId="6E9CB5A2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  <w:p w14:paraId="197E4D0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D5D009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3EDA4C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ED68DE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</w:tr>
      <w:tr w:rsidR="00686AE3" w:rsidRPr="007B185D" w14:paraId="1EF8F05B" w14:textId="77777777" w:rsidTr="00EC436D">
        <w:trPr>
          <w:trHeight w:val="2213"/>
        </w:trPr>
        <w:tc>
          <w:tcPr>
            <w:tcW w:w="2610" w:type="dxa"/>
            <w:shd w:val="clear" w:color="auto" w:fill="auto"/>
            <w:vAlign w:val="center"/>
          </w:tcPr>
          <w:p w14:paraId="3232F7A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lastRenderedPageBreak/>
              <w:t>Remote Participation Services</w:t>
            </w:r>
          </w:p>
        </w:tc>
        <w:tc>
          <w:tcPr>
            <w:tcW w:w="2340" w:type="dxa"/>
            <w:vAlign w:val="center"/>
          </w:tcPr>
          <w:p w14:paraId="6854B9E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6BED9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878A0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C83C1D" w14:textId="06C909B2" w:rsidR="00686AE3" w:rsidRPr="007B185D" w:rsidRDefault="003D3F9B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Mainly at ICANN meetings as well as on demand and as necessary</w:t>
            </w:r>
          </w:p>
        </w:tc>
        <w:tc>
          <w:tcPr>
            <w:tcW w:w="1440" w:type="dxa"/>
            <w:vAlign w:val="center"/>
          </w:tcPr>
          <w:p w14:paraId="46B6F62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740D48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CADA64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1300332B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9B7AD13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CD0BD3E" w14:textId="66776B12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7039C3CC" w14:textId="77777777" w:rsidTr="00EC436D">
        <w:tc>
          <w:tcPr>
            <w:tcW w:w="2610" w:type="dxa"/>
            <w:shd w:val="clear" w:color="auto" w:fill="auto"/>
            <w:vAlign w:val="center"/>
          </w:tcPr>
          <w:p w14:paraId="4F299E3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Leadership Training Program</w:t>
            </w:r>
          </w:p>
        </w:tc>
        <w:tc>
          <w:tcPr>
            <w:tcW w:w="2340" w:type="dxa"/>
            <w:vAlign w:val="center"/>
          </w:tcPr>
          <w:p w14:paraId="0AA75E9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E408E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Newly elected SO/AC Chairs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35E45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861C27" w14:textId="42306016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1440" w:type="dxa"/>
            <w:vAlign w:val="center"/>
          </w:tcPr>
          <w:p w14:paraId="3DF2B44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22FAAC6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05B5F15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34B232BA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3350CDE8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FF8A0B3" w14:textId="3DF809EF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73C68CDE" w14:textId="77777777" w:rsidTr="00EC436D">
        <w:tc>
          <w:tcPr>
            <w:tcW w:w="2610" w:type="dxa"/>
            <w:shd w:val="clear" w:color="auto" w:fill="auto"/>
            <w:vAlign w:val="center"/>
          </w:tcPr>
          <w:p w14:paraId="731961F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Mgmt of Public Comment processes</w:t>
            </w:r>
          </w:p>
        </w:tc>
        <w:tc>
          <w:tcPr>
            <w:tcW w:w="2340" w:type="dxa"/>
            <w:vAlign w:val="center"/>
          </w:tcPr>
          <w:p w14:paraId="2FD0407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46A35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F5600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72C0F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Always on</w:t>
            </w:r>
          </w:p>
        </w:tc>
        <w:tc>
          <w:tcPr>
            <w:tcW w:w="1440" w:type="dxa"/>
            <w:vAlign w:val="center"/>
          </w:tcPr>
          <w:p w14:paraId="4C60BE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3684DC3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2200519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3168CA75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1C2BC399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0145F4A2" w14:textId="55FB76EF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051367BB" w14:textId="77777777" w:rsidTr="00EC436D">
        <w:tc>
          <w:tcPr>
            <w:tcW w:w="2610" w:type="dxa"/>
            <w:shd w:val="clear" w:color="auto" w:fill="auto"/>
            <w:vAlign w:val="center"/>
          </w:tcPr>
          <w:p w14:paraId="23170C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Surveys</w:t>
            </w:r>
          </w:p>
        </w:tc>
        <w:tc>
          <w:tcPr>
            <w:tcW w:w="2340" w:type="dxa"/>
            <w:vAlign w:val="center"/>
          </w:tcPr>
          <w:p w14:paraId="46408BE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447FF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Community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FED755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understanding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BBE2F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0A0040A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46BD35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  <w:vAlign w:val="center"/>
          </w:tcPr>
          <w:p w14:paraId="63C5482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67F9AF4A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0C698D9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26E85E5" w14:textId="0DE2BD6A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4DC18974" w14:textId="77777777" w:rsidTr="00EC436D">
        <w:tc>
          <w:tcPr>
            <w:tcW w:w="2610" w:type="dxa"/>
            <w:shd w:val="clear" w:color="auto" w:fill="auto"/>
            <w:vAlign w:val="center"/>
          </w:tcPr>
          <w:p w14:paraId="547F13A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Regional Registry/Registrar Meetings</w:t>
            </w:r>
          </w:p>
        </w:tc>
        <w:tc>
          <w:tcPr>
            <w:tcW w:w="2340" w:type="dxa"/>
            <w:vAlign w:val="center"/>
          </w:tcPr>
          <w:p w14:paraId="2A20BE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Program, Direct Engagement and Networking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4400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Regional Communities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DFCC3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recruitment, 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AAD4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1440" w:type="dxa"/>
            <w:vAlign w:val="center"/>
          </w:tcPr>
          <w:p w14:paraId="04B13B2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1E37C3E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5C63423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0081AF66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A3285CB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6F12FBE" w14:textId="4F4376E4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86AE3" w:rsidRPr="007B185D" w14:paraId="07251668" w14:textId="77777777" w:rsidTr="00EC436D">
        <w:tc>
          <w:tcPr>
            <w:tcW w:w="2610" w:type="dxa"/>
            <w:shd w:val="clear" w:color="auto" w:fill="auto"/>
            <w:vAlign w:val="center"/>
          </w:tcPr>
          <w:p w14:paraId="14C3038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 xml:space="preserve">Registrar </w:t>
            </w:r>
            <w:proofErr w:type="spellStart"/>
            <w:r w:rsidRPr="007B185D">
              <w:rPr>
                <w:rFonts w:ascii="Century Gothic" w:hAnsi="Century Gothic"/>
                <w:sz w:val="20"/>
                <w:szCs w:val="20"/>
              </w:rPr>
              <w:t>Onboarding</w:t>
            </w:r>
            <w:proofErr w:type="spellEnd"/>
          </w:p>
        </w:tc>
        <w:tc>
          <w:tcPr>
            <w:tcW w:w="2340" w:type="dxa"/>
            <w:vAlign w:val="center"/>
          </w:tcPr>
          <w:p w14:paraId="186B2A76" w14:textId="54E2FFC3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48B13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Registrars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C3FF6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understanding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29B32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4DCB143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02D2960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63D1AE6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0B5CCB16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1E7C4EA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E1BAF68" w14:textId="337A0825" w:rsidR="00686AE3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  <w:tr w:rsidR="006F4B4C" w:rsidRPr="007B185D" w14:paraId="1FCB2779" w14:textId="77777777" w:rsidTr="00EC436D">
        <w:tc>
          <w:tcPr>
            <w:tcW w:w="2610" w:type="dxa"/>
            <w:shd w:val="clear" w:color="auto" w:fill="auto"/>
            <w:vAlign w:val="center"/>
          </w:tcPr>
          <w:p w14:paraId="73957837" w14:textId="4FB61AA8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Partnerships with outside entities</w:t>
            </w:r>
          </w:p>
        </w:tc>
        <w:tc>
          <w:tcPr>
            <w:tcW w:w="2340" w:type="dxa"/>
            <w:vAlign w:val="center"/>
          </w:tcPr>
          <w:p w14:paraId="4831C553" w14:textId="182986BC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Forum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6BD7D8" w14:textId="0C229CC3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IGF Participants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445961" w14:textId="2BEEE299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understanding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25A4E6" w14:textId="0677DF7A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At this event yearly and others like it</w:t>
            </w:r>
          </w:p>
        </w:tc>
        <w:tc>
          <w:tcPr>
            <w:tcW w:w="1440" w:type="dxa"/>
            <w:vAlign w:val="center"/>
          </w:tcPr>
          <w:p w14:paraId="1033CA0C" w14:textId="3FC50145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2DDAF492" w14:textId="03CE8584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43E54015" w14:textId="24E4DD71" w:rsidR="006F4B4C" w:rsidRPr="007B185D" w:rsidRDefault="006F4B4C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250CBC63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1D7A28"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4A3E8C5" w14:textId="77777777" w:rsidR="00EC436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CD84490" w14:textId="4F25C05B" w:rsidR="006F4B4C" w:rsidRPr="007B185D" w:rsidRDefault="00EC436D" w:rsidP="00EC436D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Community:</w:t>
            </w:r>
          </w:p>
        </w:tc>
      </w:tr>
    </w:tbl>
    <w:p w14:paraId="34D93D5E" w14:textId="77777777" w:rsidR="00C56B21" w:rsidRPr="007B185D" w:rsidRDefault="00C56B21" w:rsidP="000B2982">
      <w:pPr>
        <w:jc w:val="both"/>
        <w:rPr>
          <w:rFonts w:ascii="Century Gothic" w:hAnsi="Century Gothic"/>
          <w:sz w:val="20"/>
          <w:szCs w:val="20"/>
          <w:lang w:bidi="x-none"/>
        </w:rPr>
      </w:pPr>
    </w:p>
    <w:sectPr w:rsidR="00C56B21" w:rsidRPr="007B185D" w:rsidSect="0083726E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7325" w14:textId="77777777" w:rsidR="00A216FB" w:rsidRDefault="00A216FB" w:rsidP="003E53A2">
      <w:r>
        <w:separator/>
      </w:r>
    </w:p>
  </w:endnote>
  <w:endnote w:type="continuationSeparator" w:id="0">
    <w:p w14:paraId="374125AF" w14:textId="77777777" w:rsidR="00A216FB" w:rsidRDefault="00A216FB" w:rsidP="003E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D774" w14:textId="77777777" w:rsidR="0037082C" w:rsidRDefault="0037082C" w:rsidP="00837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5D7">
      <w:rPr>
        <w:noProof/>
      </w:rPr>
      <w:t>1</w:t>
    </w:r>
    <w:r>
      <w:rPr>
        <w:noProof/>
      </w:rPr>
      <w:fldChar w:fldCharType="end"/>
    </w:r>
  </w:p>
  <w:p w14:paraId="347241C7" w14:textId="77777777" w:rsidR="0037082C" w:rsidRDefault="0037082C" w:rsidP="008372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BD831" w14:textId="77777777" w:rsidR="00A216FB" w:rsidRDefault="00A216FB" w:rsidP="003E53A2">
      <w:r>
        <w:separator/>
      </w:r>
    </w:p>
  </w:footnote>
  <w:footnote w:type="continuationSeparator" w:id="0">
    <w:p w14:paraId="24D3712A" w14:textId="77777777" w:rsidR="00A216FB" w:rsidRDefault="00A216FB" w:rsidP="003E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818E" w14:textId="7C7A237F" w:rsidR="0037082C" w:rsidRPr="00F830E0" w:rsidRDefault="0037082C">
    <w:pPr>
      <w:pStyle w:val="Header"/>
      <w:rPr>
        <w:rFonts w:ascii="Century Gothic" w:hAnsi="Century Gothic"/>
        <w:sz w:val="28"/>
      </w:rPr>
    </w:pPr>
    <w:r w:rsidRPr="00F830E0">
      <w:rPr>
        <w:rFonts w:ascii="Century Gothic" w:hAnsi="Century Gothic"/>
        <w:sz w:val="28"/>
      </w:rPr>
      <w:t>OUTREACH ACTIVITIES:  CURRENT AND PLANNED</w:t>
    </w:r>
  </w:p>
  <w:p w14:paraId="1C5CF4D6" w14:textId="77777777" w:rsidR="0037082C" w:rsidRDefault="00370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F8E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38608B"/>
    <w:multiLevelType w:val="hybridMultilevel"/>
    <w:tmpl w:val="19A6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4"/>
    <w:rsid w:val="000127A4"/>
    <w:rsid w:val="000601F9"/>
    <w:rsid w:val="0006630C"/>
    <w:rsid w:val="00073214"/>
    <w:rsid w:val="00081525"/>
    <w:rsid w:val="000B1EFB"/>
    <w:rsid w:val="000B2982"/>
    <w:rsid w:val="000D4B55"/>
    <w:rsid w:val="00104004"/>
    <w:rsid w:val="00153121"/>
    <w:rsid w:val="00174B2A"/>
    <w:rsid w:val="001A7B34"/>
    <w:rsid w:val="001C1B35"/>
    <w:rsid w:val="00212270"/>
    <w:rsid w:val="00230DAC"/>
    <w:rsid w:val="002474C7"/>
    <w:rsid w:val="00254687"/>
    <w:rsid w:val="002812E4"/>
    <w:rsid w:val="0029198B"/>
    <w:rsid w:val="00293C11"/>
    <w:rsid w:val="002B2A4A"/>
    <w:rsid w:val="002B72E3"/>
    <w:rsid w:val="002C3689"/>
    <w:rsid w:val="002C42F9"/>
    <w:rsid w:val="002F5356"/>
    <w:rsid w:val="00343331"/>
    <w:rsid w:val="00344152"/>
    <w:rsid w:val="0037082C"/>
    <w:rsid w:val="003919F2"/>
    <w:rsid w:val="003B0D17"/>
    <w:rsid w:val="003D3F9B"/>
    <w:rsid w:val="003D7F60"/>
    <w:rsid w:val="003E25D7"/>
    <w:rsid w:val="003E53A2"/>
    <w:rsid w:val="0040209E"/>
    <w:rsid w:val="00437B92"/>
    <w:rsid w:val="004B1A5B"/>
    <w:rsid w:val="004D3F8D"/>
    <w:rsid w:val="004E1B28"/>
    <w:rsid w:val="004E1EF5"/>
    <w:rsid w:val="00512598"/>
    <w:rsid w:val="00523EC6"/>
    <w:rsid w:val="005416E8"/>
    <w:rsid w:val="00545599"/>
    <w:rsid w:val="00562CBA"/>
    <w:rsid w:val="005C45F2"/>
    <w:rsid w:val="005F6227"/>
    <w:rsid w:val="0064619B"/>
    <w:rsid w:val="00686AE3"/>
    <w:rsid w:val="0069779F"/>
    <w:rsid w:val="006F4B4C"/>
    <w:rsid w:val="007143A2"/>
    <w:rsid w:val="007239D0"/>
    <w:rsid w:val="00786C35"/>
    <w:rsid w:val="007960F1"/>
    <w:rsid w:val="007B185D"/>
    <w:rsid w:val="007D48A1"/>
    <w:rsid w:val="007F4841"/>
    <w:rsid w:val="008213C4"/>
    <w:rsid w:val="0082648D"/>
    <w:rsid w:val="0083726E"/>
    <w:rsid w:val="0086017B"/>
    <w:rsid w:val="008A3571"/>
    <w:rsid w:val="008B626C"/>
    <w:rsid w:val="009406B3"/>
    <w:rsid w:val="009A6031"/>
    <w:rsid w:val="009A6611"/>
    <w:rsid w:val="009B4A65"/>
    <w:rsid w:val="009F1D7A"/>
    <w:rsid w:val="00A100DC"/>
    <w:rsid w:val="00A216FB"/>
    <w:rsid w:val="00A377FB"/>
    <w:rsid w:val="00A4245D"/>
    <w:rsid w:val="00A542DA"/>
    <w:rsid w:val="00A80F19"/>
    <w:rsid w:val="00A941A5"/>
    <w:rsid w:val="00AC3007"/>
    <w:rsid w:val="00AC7B8A"/>
    <w:rsid w:val="00B03DA2"/>
    <w:rsid w:val="00B45328"/>
    <w:rsid w:val="00B5458C"/>
    <w:rsid w:val="00B64971"/>
    <w:rsid w:val="00B65CB7"/>
    <w:rsid w:val="00B72114"/>
    <w:rsid w:val="00BB7404"/>
    <w:rsid w:val="00C2227C"/>
    <w:rsid w:val="00C56B21"/>
    <w:rsid w:val="00C753E2"/>
    <w:rsid w:val="00CC0D8C"/>
    <w:rsid w:val="00D440D5"/>
    <w:rsid w:val="00D56E0D"/>
    <w:rsid w:val="00D70EFA"/>
    <w:rsid w:val="00DA46E7"/>
    <w:rsid w:val="00DA6F3C"/>
    <w:rsid w:val="00DC4937"/>
    <w:rsid w:val="00DF5BC3"/>
    <w:rsid w:val="00E67DA1"/>
    <w:rsid w:val="00EA13A3"/>
    <w:rsid w:val="00EC436D"/>
    <w:rsid w:val="00EF7504"/>
    <w:rsid w:val="00F303AA"/>
    <w:rsid w:val="00F429AA"/>
    <w:rsid w:val="00F64E9D"/>
    <w:rsid w:val="00F763C0"/>
    <w:rsid w:val="00F830E0"/>
    <w:rsid w:val="00FC64E6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BE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4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3A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3A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E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A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293C11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23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4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3A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3A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E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A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293C11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2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7813</Characters>
  <Application>Microsoft Office Word</Application>
  <DocSecurity>0</DocSecurity>
  <Lines>781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 related to events establishment Project Office</vt:lpstr>
    </vt:vector>
  </TitlesOfParts>
  <Company>ICANN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 related to events establishment Project Office</dc:title>
  <dc:creator>Bart Boswinkel</dc:creator>
  <cp:lastModifiedBy>Janice Douma Lange</cp:lastModifiedBy>
  <cp:revision>2</cp:revision>
  <cp:lastPrinted>2012-09-05T19:58:00Z</cp:lastPrinted>
  <dcterms:created xsi:type="dcterms:W3CDTF">2012-09-05T21:30:00Z</dcterms:created>
  <dcterms:modified xsi:type="dcterms:W3CDTF">2012-09-05T21:30:00Z</dcterms:modified>
</cp:coreProperties>
</file>